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 w:ascii="仿宋" w:hAnsi="仿宋" w:eastAsia="仿宋" w:cs="仿宋"/>
          <w:b/>
          <w:bCs/>
          <w:sz w:val="52"/>
          <w:szCs w:val="52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报 价 表</w:t>
      </w:r>
    </w:p>
    <w:bookmarkEnd w:id="0"/>
    <w:tbl>
      <w:tblPr>
        <w:tblStyle w:val="3"/>
        <w:tblW w:w="82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2028"/>
        <w:gridCol w:w="1345"/>
        <w:gridCol w:w="1345"/>
        <w:gridCol w:w="13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23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报价单位</w:t>
            </w:r>
          </w:p>
        </w:tc>
        <w:tc>
          <w:tcPr>
            <w:tcW w:w="6064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23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6064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eastAsia="zh-CN"/>
              </w:rPr>
              <w:t>郑州航空邮件处理中心项目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  <w:jc w:val="center"/>
        </w:trPr>
        <w:tc>
          <w:tcPr>
            <w:tcW w:w="223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32"/>
                <w:sz w:val="28"/>
                <w:szCs w:val="28"/>
                <w:lang w:val="en-US" w:eastAsia="zh-CN"/>
              </w:rPr>
              <w:t>项目内容</w:t>
            </w:r>
          </w:p>
        </w:tc>
        <w:tc>
          <w:tcPr>
            <w:tcW w:w="6064" w:type="dxa"/>
            <w:gridSpan w:val="4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社会稳定风险评估报告编制及评审；固定资产投资项目节能报告的编制及评审。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235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社会稳定风险评估报告</w:t>
            </w:r>
          </w:p>
        </w:tc>
        <w:tc>
          <w:tcPr>
            <w:tcW w:w="2028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编制费用（元）</w:t>
            </w:r>
          </w:p>
        </w:tc>
        <w:tc>
          <w:tcPr>
            <w:tcW w:w="1345" w:type="dxa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45" w:type="dxa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周期（天）</w:t>
            </w:r>
          </w:p>
        </w:tc>
        <w:tc>
          <w:tcPr>
            <w:tcW w:w="1346" w:type="dxa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235" w:type="dxa"/>
            <w:vMerge w:val="continue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2028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评审费用（元）</w:t>
            </w:r>
          </w:p>
        </w:tc>
        <w:tc>
          <w:tcPr>
            <w:tcW w:w="1345" w:type="dxa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45" w:type="dxa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周期（天）</w:t>
            </w:r>
          </w:p>
        </w:tc>
        <w:tc>
          <w:tcPr>
            <w:tcW w:w="1346" w:type="dxa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235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节能报告</w:t>
            </w:r>
          </w:p>
        </w:tc>
        <w:tc>
          <w:tcPr>
            <w:tcW w:w="2028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编制费用（元）</w:t>
            </w:r>
          </w:p>
        </w:tc>
        <w:tc>
          <w:tcPr>
            <w:tcW w:w="1345" w:type="dxa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45" w:type="dxa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周期（天）</w:t>
            </w:r>
          </w:p>
        </w:tc>
        <w:tc>
          <w:tcPr>
            <w:tcW w:w="1346" w:type="dxa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235" w:type="dxa"/>
            <w:vMerge w:val="continue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2028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评审费用（元）</w:t>
            </w:r>
          </w:p>
        </w:tc>
        <w:tc>
          <w:tcPr>
            <w:tcW w:w="1345" w:type="dxa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45" w:type="dxa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周期（天）</w:t>
            </w:r>
          </w:p>
        </w:tc>
        <w:tc>
          <w:tcPr>
            <w:tcW w:w="1346" w:type="dxa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23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报价合计（元）</w:t>
            </w:r>
          </w:p>
        </w:tc>
        <w:tc>
          <w:tcPr>
            <w:tcW w:w="6064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          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     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 xml:space="preserve"> 元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23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其中：税金</w:t>
            </w:r>
          </w:p>
        </w:tc>
        <w:tc>
          <w:tcPr>
            <w:tcW w:w="6064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    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 元 ；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   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%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1" w:hRule="atLeast"/>
          <w:jc w:val="center"/>
        </w:trPr>
        <w:tc>
          <w:tcPr>
            <w:tcW w:w="223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服务承诺</w:t>
            </w:r>
          </w:p>
        </w:tc>
        <w:tc>
          <w:tcPr>
            <w:tcW w:w="6064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注：编制单位在响应询价函规定的实质性要求条件的基础上，可作出有利于采购人的承诺，此类承诺可在本表中予以填写。</w:t>
      </w:r>
    </w:p>
    <w:p>
      <w:pPr>
        <w:numPr>
          <w:ilvl w:val="0"/>
          <w:numId w:val="0"/>
        </w:numPr>
        <w:jc w:val="center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            单位：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  <w:lang w:val="en-US" w:eastAsia="zh-CN"/>
        </w:rPr>
        <w:t xml:space="preserve">                  （公章）</w:t>
      </w:r>
    </w:p>
    <w:p>
      <w:pPr>
        <w:numPr>
          <w:ilvl w:val="0"/>
          <w:numId w:val="0"/>
        </w:numPr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                法定代表人或其授权代理人：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  <w:lang w:val="en-US" w:eastAsia="zh-CN"/>
        </w:rPr>
        <w:t xml:space="preserve">   （签字）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 </w:t>
      </w:r>
    </w:p>
    <w:p>
      <w:pPr>
        <w:numPr>
          <w:ilvl w:val="0"/>
          <w:numId w:val="0"/>
        </w:numPr>
        <w:jc w:val="center"/>
        <w:rPr>
          <w:rFonts w:hint="eastAsia" w:eastAsiaTheme="minorEastAsia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                             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年 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月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FZFSK--GBK1-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IDFont + F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2E30E9"/>
    <w:rsid w:val="0341363D"/>
    <w:rsid w:val="08A0128C"/>
    <w:rsid w:val="0E754AF4"/>
    <w:rsid w:val="116645AD"/>
    <w:rsid w:val="1523749B"/>
    <w:rsid w:val="17990A06"/>
    <w:rsid w:val="1FE92F7E"/>
    <w:rsid w:val="21870699"/>
    <w:rsid w:val="286B0F22"/>
    <w:rsid w:val="292A4372"/>
    <w:rsid w:val="31C71044"/>
    <w:rsid w:val="32F173EE"/>
    <w:rsid w:val="38D67BA5"/>
    <w:rsid w:val="3CC20E8C"/>
    <w:rsid w:val="424D29DF"/>
    <w:rsid w:val="43CF4646"/>
    <w:rsid w:val="4681555A"/>
    <w:rsid w:val="4C501D6A"/>
    <w:rsid w:val="4ED96039"/>
    <w:rsid w:val="4F604278"/>
    <w:rsid w:val="560D4C18"/>
    <w:rsid w:val="5A572ACD"/>
    <w:rsid w:val="5D7602E1"/>
    <w:rsid w:val="637960F9"/>
    <w:rsid w:val="6B365C8A"/>
    <w:rsid w:val="6BBE3423"/>
    <w:rsid w:val="6E7325D3"/>
    <w:rsid w:val="72407E46"/>
    <w:rsid w:val="7DD135E5"/>
    <w:rsid w:val="7DE70B0E"/>
    <w:rsid w:val="7FC55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style21"/>
    <w:basedOn w:val="4"/>
    <w:qFormat/>
    <w:uiPriority w:val="0"/>
    <w:rPr>
      <w:rFonts w:ascii="FZFSK--GBK1-0" w:hAnsi="FZFSK--GBK1-0" w:eastAsia="FZFSK--GBK1-0" w:cs="FZFSK--GBK1-0"/>
      <w:color w:val="000000"/>
      <w:sz w:val="30"/>
      <w:szCs w:val="30"/>
    </w:rPr>
  </w:style>
  <w:style w:type="character" w:customStyle="1" w:styleId="6">
    <w:name w:val="fontstyle01"/>
    <w:basedOn w:val="4"/>
    <w:qFormat/>
    <w:uiPriority w:val="0"/>
    <w:rPr>
      <w:rFonts w:ascii="CIDFont + F3" w:hAnsi="CIDFont + F3" w:eastAsia="CIDFont + F3" w:cs="CIDFont + F3"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2021-09-03T07:30:00Z</dcterms:created>
  <dc:creator>Administrator</dc:creator>
  <cp:lastModifiedBy>王文雷</cp:lastModifiedBy>
  <dcterms:modified xsi:type="dcterms:W3CDTF">2021-09-07T09:02:31Z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