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b/>
          <w:bCs/>
          <w:sz w:val="30"/>
          <w:szCs w:val="30"/>
        </w:rPr>
      </w:pPr>
      <w:bookmarkStart w:id="0" w:name="_Hlk145337046"/>
      <w:r>
        <w:rPr>
          <w:rFonts w:hint="eastAsia" w:ascii="仿宋" w:hAnsi="仿宋" w:eastAsia="仿宋" w:cs="仿宋"/>
          <w:b/>
          <w:bCs/>
          <w:sz w:val="30"/>
          <w:szCs w:val="30"/>
        </w:rPr>
        <w:t>附件3.技术规范书</w:t>
      </w:r>
    </w:p>
    <w:bookmarkEnd w:id="0"/>
    <w:p>
      <w:pPr>
        <w:pStyle w:val="4"/>
        <w:keepNext w:val="0"/>
        <w:keepLines w:val="0"/>
        <w:widowControl w:val="0"/>
        <w:numPr>
          <w:ilvl w:val="0"/>
          <w:numId w:val="0"/>
        </w:numPr>
        <w:spacing w:before="0" w:after="0" w:line="240" w:lineRule="auto"/>
        <w:ind w:left="0"/>
        <w:rPr>
          <w:rFonts w:ascii="仿宋_GB2312" w:hAnsi="仿宋_GB2312" w:eastAsia="仿宋_GB2312"/>
          <w:bCs/>
          <w:sz w:val="32"/>
        </w:rPr>
      </w:pPr>
      <w:bookmarkStart w:id="1" w:name="_Toc26419"/>
      <w:r>
        <w:rPr>
          <w:rFonts w:ascii="仿宋_GB2312" w:hAnsi="仿宋_GB2312" w:eastAsia="仿宋_GB2312"/>
          <w:bCs/>
          <w:sz w:val="32"/>
        </w:rPr>
        <w:t>1.</w:t>
      </w:r>
      <w:r>
        <w:rPr>
          <w:rFonts w:hint="eastAsia" w:ascii="仿宋_GB2312" w:hAnsi="仿宋_GB2312" w:eastAsia="仿宋_GB2312"/>
          <w:bCs/>
          <w:sz w:val="32"/>
        </w:rPr>
        <w:t>概述</w:t>
      </w:r>
      <w:bookmarkEnd w:id="1"/>
    </w:p>
    <w:p>
      <w:pPr>
        <w:pStyle w:val="5"/>
        <w:keepNext w:val="0"/>
        <w:keepLines w:val="0"/>
        <w:widowControl w:val="0"/>
        <w:tabs>
          <w:tab w:val="left" w:pos="0"/>
        </w:tabs>
        <w:spacing w:before="0" w:after="0" w:line="240" w:lineRule="auto"/>
        <w:ind w:left="15" w:hanging="15"/>
        <w:rPr>
          <w:rFonts w:ascii="仿宋_GB2312" w:hAnsi="仿宋_GB2312" w:eastAsia="仿宋_GB2312"/>
          <w:b w:val="0"/>
          <w:sz w:val="30"/>
        </w:rPr>
      </w:pPr>
      <w:r>
        <w:rPr>
          <w:rFonts w:ascii="仿宋_GB2312" w:hAnsi="仿宋_GB2312" w:eastAsia="仿宋_GB2312"/>
          <w:b w:val="0"/>
          <w:sz w:val="30"/>
        </w:rPr>
        <w:t xml:space="preserve">1.1 </w:t>
      </w:r>
      <w:r>
        <w:rPr>
          <w:rFonts w:hint="eastAsia" w:ascii="仿宋_GB2312" w:hAnsi="仿宋_GB2312" w:eastAsia="仿宋_GB2312"/>
          <w:b w:val="0"/>
          <w:sz w:val="30"/>
        </w:rPr>
        <w:t>本规范书是中国邮政集团有限公司河南省分公司（以下简称“甲方”）采购</w:t>
      </w:r>
      <w:r>
        <w:rPr>
          <w:rFonts w:ascii="仿宋_GB2312" w:hAnsi="仿宋_GB2312" w:eastAsia="仿宋_GB2312"/>
          <w:b w:val="0"/>
          <w:sz w:val="30"/>
        </w:rPr>
        <w:t>河南邮政</w:t>
      </w:r>
      <w:r>
        <w:rPr>
          <w:rFonts w:hint="eastAsia" w:ascii="仿宋_GB2312" w:hAnsi="仿宋_GB2312" w:eastAsia="仿宋_GB2312"/>
          <w:b w:val="0"/>
          <w:sz w:val="30"/>
        </w:rPr>
        <w:t>计算机软件著作权登记服</w:t>
      </w:r>
      <w:r>
        <w:rPr>
          <w:rFonts w:ascii="仿宋_GB2312" w:hAnsi="仿宋_GB2312" w:eastAsia="仿宋_GB2312"/>
          <w:b w:val="0"/>
          <w:sz w:val="30"/>
        </w:rPr>
        <w:t>务</w:t>
      </w:r>
      <w:r>
        <w:rPr>
          <w:rFonts w:hint="eastAsia" w:ascii="仿宋_GB2312" w:hAnsi="仿宋_GB2312" w:eastAsia="仿宋_GB2312"/>
          <w:b w:val="0"/>
          <w:sz w:val="30"/>
        </w:rPr>
        <w:t>的技术规范书，供服务商（投标人，以下简称“乙方”）编写技术建议书、应答书和报价之用。</w:t>
      </w:r>
    </w:p>
    <w:p>
      <w:pPr>
        <w:rPr>
          <w:sz w:val="30"/>
        </w:rPr>
      </w:pPr>
      <w:r>
        <w:rPr>
          <w:rFonts w:hint="eastAsia" w:ascii="仿宋_GB2312" w:hAnsi="仿宋_GB2312" w:eastAsia="仿宋_GB2312"/>
          <w:sz w:val="30"/>
        </w:rPr>
        <w:t>应答：</w:t>
      </w:r>
    </w:p>
    <w:p>
      <w:pPr>
        <w:pStyle w:val="5"/>
        <w:keepNext w:val="0"/>
        <w:keepLines w:val="0"/>
        <w:widowControl w:val="0"/>
        <w:tabs>
          <w:tab w:val="left" w:pos="0"/>
        </w:tabs>
        <w:spacing w:before="0" w:after="0" w:line="240" w:lineRule="auto"/>
        <w:ind w:left="15" w:hanging="15"/>
        <w:rPr>
          <w:rFonts w:ascii="仿宋_GB2312" w:hAnsi="仿宋_GB2312" w:eastAsia="仿宋_GB2312"/>
          <w:b w:val="0"/>
          <w:sz w:val="30"/>
        </w:rPr>
      </w:pPr>
      <w:bookmarkStart w:id="2" w:name="_Toc494376571"/>
      <w:r>
        <w:rPr>
          <w:rFonts w:ascii="仿宋_GB2312" w:hAnsi="仿宋_GB2312" w:eastAsia="仿宋_GB2312"/>
          <w:b w:val="0"/>
          <w:sz w:val="30"/>
        </w:rPr>
        <w:t xml:space="preserve">1.2 </w:t>
      </w:r>
      <w:r>
        <w:rPr>
          <w:rFonts w:hint="eastAsia" w:ascii="仿宋_GB2312" w:hAnsi="仿宋_GB2312" w:eastAsia="仿宋_GB2312"/>
          <w:b w:val="0"/>
          <w:sz w:val="30"/>
        </w:rPr>
        <w:t>乙方在此应答书中对本技术规范书内容按顺序逐条、逐款应答。对所有条款按“满足”或“不满足”应答，然后给出详细的说明。</w:t>
      </w:r>
      <w:bookmarkEnd w:id="2"/>
      <w:r>
        <w:rPr>
          <w:rFonts w:hint="eastAsia" w:ascii="仿宋_GB2312" w:hAnsi="仿宋_GB2312" w:eastAsia="仿宋_GB2312"/>
          <w:b w:val="0"/>
          <w:sz w:val="30"/>
        </w:rPr>
        <w:t>若有遗漏，视同“满足”。</w:t>
      </w:r>
    </w:p>
    <w:p>
      <w:r>
        <w:rPr>
          <w:rFonts w:hint="eastAsia" w:ascii="仿宋_GB2312" w:hAnsi="仿宋_GB2312" w:eastAsia="仿宋_GB2312"/>
          <w:sz w:val="30"/>
        </w:rPr>
        <w:t>应答：</w:t>
      </w:r>
    </w:p>
    <w:p>
      <w:pPr>
        <w:pStyle w:val="5"/>
        <w:keepNext w:val="0"/>
        <w:keepLines w:val="0"/>
        <w:widowControl w:val="0"/>
        <w:tabs>
          <w:tab w:val="left" w:pos="0"/>
        </w:tabs>
        <w:spacing w:before="0" w:after="0" w:line="240" w:lineRule="auto"/>
        <w:ind w:left="15" w:hanging="15"/>
        <w:rPr>
          <w:rFonts w:ascii="仿宋_GB2312" w:hAnsi="仿宋_GB2312" w:eastAsia="仿宋_GB2312"/>
          <w:b w:val="0"/>
          <w:sz w:val="30"/>
        </w:rPr>
      </w:pPr>
      <w:r>
        <w:rPr>
          <w:rFonts w:ascii="仿宋_GB2312" w:hAnsi="仿宋_GB2312" w:eastAsia="仿宋_GB2312"/>
          <w:b w:val="0"/>
          <w:sz w:val="30"/>
        </w:rPr>
        <w:t xml:space="preserve">1.3 </w:t>
      </w:r>
      <w:r>
        <w:rPr>
          <w:rFonts w:hint="eastAsia" w:ascii="仿宋_GB2312" w:hAnsi="仿宋_GB2312" w:eastAsia="仿宋_GB2312"/>
          <w:b w:val="0"/>
          <w:sz w:val="30"/>
        </w:rPr>
        <w:t>乙方对于规范书的疑问可以通过书面材料与甲方联系。在规定的建议书提交最后期限以前，甲方将以书面材料给予答复，有关甲方答复材料的复印件也将递交所有得到技术规范书的乙方。</w:t>
      </w:r>
    </w:p>
    <w:p>
      <w:pPr>
        <w:pStyle w:val="5"/>
        <w:keepNext w:val="0"/>
        <w:keepLines w:val="0"/>
        <w:widowControl w:val="0"/>
        <w:tabs>
          <w:tab w:val="left" w:pos="0"/>
        </w:tabs>
        <w:spacing w:before="0" w:after="0" w:line="240" w:lineRule="auto"/>
        <w:rPr>
          <w:rFonts w:ascii="仿宋_GB2312" w:hAnsi="仿宋_GB2312" w:eastAsia="仿宋_GB2312"/>
          <w:b w:val="0"/>
          <w:sz w:val="30"/>
        </w:rPr>
      </w:pPr>
      <w:r>
        <w:rPr>
          <w:rFonts w:hint="eastAsia" w:ascii="仿宋_GB2312" w:hAnsi="仿宋_GB2312" w:eastAsia="仿宋_GB2312"/>
          <w:b w:val="0"/>
          <w:sz w:val="30"/>
        </w:rPr>
        <w:t>应答：</w:t>
      </w:r>
    </w:p>
    <w:p>
      <w:pPr>
        <w:pStyle w:val="5"/>
        <w:keepNext w:val="0"/>
        <w:keepLines w:val="0"/>
        <w:widowControl w:val="0"/>
        <w:tabs>
          <w:tab w:val="left" w:pos="0"/>
        </w:tabs>
        <w:spacing w:before="0" w:after="0" w:line="240" w:lineRule="auto"/>
        <w:ind w:left="15" w:hanging="15"/>
        <w:rPr>
          <w:rFonts w:ascii="仿宋_GB2312" w:hAnsi="仿宋_GB2312" w:eastAsia="仿宋_GB2312"/>
          <w:b w:val="0"/>
          <w:sz w:val="30"/>
        </w:rPr>
      </w:pPr>
      <w:r>
        <w:rPr>
          <w:rFonts w:ascii="仿宋_GB2312" w:hAnsi="仿宋_GB2312" w:eastAsia="仿宋_GB2312"/>
          <w:b w:val="0"/>
          <w:sz w:val="30"/>
        </w:rPr>
        <w:t xml:space="preserve">1.4 </w:t>
      </w:r>
      <w:r>
        <w:rPr>
          <w:rFonts w:hint="eastAsia" w:ascii="仿宋_GB2312" w:hAnsi="仿宋_GB2312" w:eastAsia="仿宋_GB2312"/>
          <w:b w:val="0"/>
          <w:sz w:val="30"/>
        </w:rPr>
        <w:t>在评标过程中，甲方将有权以书面形式要求乙方对有关问题进行进一步的澄清，乙方应以书面资料给予正式应答。</w:t>
      </w:r>
    </w:p>
    <w:p>
      <w:pPr>
        <w:pStyle w:val="5"/>
        <w:keepNext w:val="0"/>
        <w:keepLines w:val="0"/>
        <w:widowControl w:val="0"/>
        <w:tabs>
          <w:tab w:val="left" w:pos="0"/>
        </w:tabs>
        <w:spacing w:before="0" w:after="0" w:line="240" w:lineRule="auto"/>
        <w:rPr>
          <w:rFonts w:ascii="仿宋_GB2312" w:hAnsi="仿宋_GB2312" w:eastAsia="仿宋_GB2312"/>
          <w:b w:val="0"/>
          <w:sz w:val="30"/>
        </w:rPr>
      </w:pPr>
      <w:r>
        <w:rPr>
          <w:rFonts w:hint="eastAsia" w:ascii="仿宋_GB2312" w:hAnsi="仿宋_GB2312" w:eastAsia="仿宋_GB2312"/>
          <w:b w:val="0"/>
          <w:sz w:val="30"/>
        </w:rPr>
        <w:t>应答：</w:t>
      </w:r>
    </w:p>
    <w:p>
      <w:pPr>
        <w:pStyle w:val="5"/>
        <w:keepNext w:val="0"/>
        <w:keepLines w:val="0"/>
        <w:widowControl w:val="0"/>
        <w:tabs>
          <w:tab w:val="left" w:pos="0"/>
        </w:tabs>
        <w:spacing w:before="0" w:after="0" w:line="240" w:lineRule="auto"/>
        <w:ind w:left="15" w:hanging="15"/>
        <w:rPr>
          <w:rFonts w:ascii="仿宋_GB2312" w:hAnsi="仿宋_GB2312" w:eastAsia="仿宋_GB2312"/>
          <w:b w:val="0"/>
          <w:sz w:val="30"/>
        </w:rPr>
      </w:pPr>
      <w:r>
        <w:rPr>
          <w:rFonts w:ascii="仿宋_GB2312" w:hAnsi="仿宋_GB2312" w:eastAsia="仿宋_GB2312"/>
          <w:b w:val="0"/>
          <w:sz w:val="30"/>
        </w:rPr>
        <w:t xml:space="preserve">1.5 </w:t>
      </w:r>
      <w:r>
        <w:rPr>
          <w:rFonts w:hint="eastAsia" w:ascii="仿宋_GB2312" w:hAnsi="仿宋_GB2312" w:eastAsia="仿宋_GB2312"/>
          <w:b w:val="0"/>
          <w:sz w:val="30"/>
        </w:rPr>
        <w:t>甲方在任何时候保留对本文件的解释和修改权。乙方对技术规范书的应答书将作为合同的附件，并与主合同具有同等的法律效力。</w:t>
      </w:r>
    </w:p>
    <w:p>
      <w:pPr>
        <w:rPr>
          <w:rFonts w:ascii="仿宋_GB2312" w:hAnsi="仿宋_GB2312" w:eastAsia="仿宋_GB2312"/>
          <w:sz w:val="30"/>
        </w:rPr>
      </w:pPr>
      <w:r>
        <w:rPr>
          <w:rFonts w:hint="eastAsia" w:ascii="仿宋_GB2312" w:hAnsi="仿宋_GB2312" w:eastAsia="仿宋_GB2312"/>
          <w:sz w:val="30"/>
        </w:rPr>
        <w:t>应答：</w:t>
      </w:r>
    </w:p>
    <w:p>
      <w:pPr>
        <w:pStyle w:val="4"/>
        <w:keepNext w:val="0"/>
        <w:keepLines w:val="0"/>
        <w:widowControl w:val="0"/>
        <w:numPr>
          <w:ilvl w:val="0"/>
          <w:numId w:val="0"/>
        </w:numPr>
        <w:spacing w:before="0" w:after="0" w:line="240" w:lineRule="auto"/>
        <w:ind w:left="0"/>
        <w:rPr>
          <w:rFonts w:ascii="仿宋_GB2312" w:hAnsi="仿宋_GB2312" w:eastAsia="仿宋_GB2312"/>
          <w:bCs/>
          <w:sz w:val="32"/>
        </w:rPr>
      </w:pPr>
      <w:bookmarkStart w:id="3" w:name="_Toc19453"/>
      <w:r>
        <w:rPr>
          <w:rFonts w:ascii="仿宋_GB2312" w:hAnsi="仿宋_GB2312" w:eastAsia="仿宋_GB2312"/>
          <w:bCs/>
          <w:sz w:val="32"/>
        </w:rPr>
        <w:t>2.</w:t>
      </w:r>
      <w:r>
        <w:rPr>
          <w:rFonts w:hint="eastAsia" w:ascii="仿宋_GB2312" w:hAnsi="仿宋_GB2312" w:eastAsia="仿宋_GB2312"/>
          <w:bCs/>
          <w:sz w:val="32"/>
        </w:rPr>
        <w:t>项目概况</w:t>
      </w:r>
      <w:bookmarkEnd w:id="3"/>
    </w:p>
    <w:p>
      <w:pPr>
        <w:pStyle w:val="5"/>
        <w:keepNext w:val="0"/>
        <w:keepLines w:val="0"/>
        <w:widowControl w:val="0"/>
        <w:tabs>
          <w:tab w:val="left" w:pos="0"/>
        </w:tabs>
        <w:spacing w:before="0" w:after="0" w:line="240" w:lineRule="auto"/>
        <w:rPr>
          <w:rFonts w:ascii="仿宋_GB2312" w:hAnsi="仿宋_GB2312" w:eastAsia="仿宋_GB2312"/>
          <w:b w:val="0"/>
          <w:sz w:val="30"/>
          <w:highlight w:val="green"/>
        </w:rPr>
      </w:pPr>
      <w:r>
        <w:rPr>
          <w:rFonts w:hint="eastAsia" w:ascii="仿宋_GB2312" w:hAnsi="仿宋_GB2312" w:eastAsia="仿宋_GB2312"/>
          <w:b w:val="0"/>
          <w:sz w:val="30"/>
        </w:rPr>
        <w:t>2.1</w:t>
      </w:r>
      <w:r>
        <w:rPr>
          <w:rFonts w:ascii="仿宋_GB2312" w:hAnsi="仿宋_GB2312" w:eastAsia="仿宋_GB2312"/>
          <w:b w:val="0"/>
          <w:sz w:val="30"/>
        </w:rPr>
        <w:t xml:space="preserve"> </w:t>
      </w:r>
      <w:r>
        <w:rPr>
          <w:rFonts w:hint="eastAsia" w:ascii="仿宋_GB2312" w:hAnsi="仿宋_GB2312" w:eastAsia="仿宋_GB2312"/>
          <w:b w:val="0"/>
          <w:sz w:val="30"/>
        </w:rPr>
        <w:t>本次招标拟采购为期</w:t>
      </w:r>
      <w:r>
        <w:rPr>
          <w:rFonts w:ascii="仿宋_GB2312" w:hAnsi="仿宋_GB2312" w:eastAsia="仿宋_GB2312"/>
          <w:b w:val="0"/>
          <w:sz w:val="30"/>
        </w:rPr>
        <w:t>1</w:t>
      </w:r>
      <w:r>
        <w:rPr>
          <w:rFonts w:hint="eastAsia" w:ascii="仿宋_GB2312" w:hAnsi="仿宋_GB2312" w:eastAsia="仿宋_GB2312"/>
          <w:b w:val="0"/>
          <w:sz w:val="30"/>
        </w:rPr>
        <w:t>年的中国邮政集团公司河南省分公司计算机软件著作权登记服务，包含软件著作权登记项目所涉及项目操作手册、源代码等资料的审核、完善，确保资料的完整、准确。</w:t>
      </w:r>
    </w:p>
    <w:p>
      <w:pPr>
        <w:tabs>
          <w:tab w:val="left" w:pos="2210"/>
        </w:tabs>
        <w:rPr>
          <w:rFonts w:ascii="仿宋_GB2312" w:hAnsi="仿宋_GB2312" w:eastAsia="仿宋_GB2312"/>
          <w:sz w:val="30"/>
        </w:rPr>
      </w:pPr>
      <w:r>
        <w:rPr>
          <w:rFonts w:hint="eastAsia" w:ascii="仿宋_GB2312" w:hAnsi="仿宋_GB2312" w:eastAsia="仿宋_GB2312"/>
          <w:sz w:val="30"/>
        </w:rPr>
        <w:t>应答：</w:t>
      </w:r>
    </w:p>
    <w:p>
      <w:pPr>
        <w:tabs>
          <w:tab w:val="left" w:pos="2210"/>
        </w:tabs>
        <w:rPr>
          <w:rFonts w:ascii="仿宋_GB2312" w:hAnsi="仿宋_GB2312" w:eastAsia="仿宋_GB2312"/>
          <w:sz w:val="30"/>
        </w:rPr>
      </w:pPr>
      <w:r>
        <w:rPr>
          <w:rFonts w:hint="eastAsia" w:ascii="仿宋_GB2312" w:hAnsi="仿宋_GB2312" w:eastAsia="仿宋_GB2312"/>
          <w:sz w:val="30"/>
        </w:rPr>
        <w:t>2.2</w:t>
      </w:r>
      <w:r>
        <w:rPr>
          <w:rFonts w:ascii="仿宋_GB2312" w:hAnsi="仿宋_GB2312" w:eastAsia="仿宋_GB2312"/>
          <w:sz w:val="30"/>
        </w:rPr>
        <w:t xml:space="preserve"> </w:t>
      </w:r>
      <w:r>
        <w:rPr>
          <w:rFonts w:hint="eastAsia" w:ascii="仿宋_GB2312" w:hAnsi="仿宋_GB2312" w:eastAsia="仿宋_GB2312"/>
          <w:sz w:val="30"/>
        </w:rPr>
        <w:t>乙方应针对计算机软件著权登记申请项目涉及操作手册的审核：按《计算机软件保护条例》或《计算机软件著作权登记办法》规定，协助完成项目操作手册，确保提交的操作手册内容完整，准确，符合项目审核要求。</w:t>
      </w:r>
    </w:p>
    <w:p>
      <w:pPr>
        <w:widowControl/>
        <w:tabs>
          <w:tab w:val="left" w:pos="2210"/>
        </w:tabs>
        <w:rPr>
          <w:rFonts w:ascii="仿宋_GB2312" w:hAnsi="仿宋_GB2312" w:eastAsia="仿宋_GB2312"/>
          <w:sz w:val="30"/>
        </w:rPr>
      </w:pPr>
      <w:r>
        <w:rPr>
          <w:rFonts w:hint="eastAsia" w:ascii="仿宋_GB2312" w:hAnsi="仿宋_GB2312" w:eastAsia="仿宋_GB2312"/>
          <w:sz w:val="30"/>
        </w:rPr>
        <w:t>应答：</w:t>
      </w:r>
    </w:p>
    <w:p>
      <w:pPr>
        <w:widowControl/>
        <w:adjustRightInd w:val="0"/>
        <w:snapToGrid w:val="0"/>
        <w:spacing w:line="360" w:lineRule="auto"/>
        <w:jc w:val="left"/>
        <w:rPr>
          <w:rFonts w:ascii="仿宋_GB2312" w:hAnsi="仿宋_GB2312" w:eastAsia="仿宋_GB2312"/>
          <w:sz w:val="30"/>
        </w:rPr>
      </w:pPr>
      <w:r>
        <w:rPr>
          <w:rFonts w:hint="eastAsia" w:ascii="仿宋_GB2312" w:hAnsi="仿宋_GB2312" w:eastAsia="仿宋_GB2312"/>
          <w:sz w:val="30"/>
        </w:rPr>
        <w:t>2.</w:t>
      </w:r>
      <w:r>
        <w:rPr>
          <w:rFonts w:ascii="仿宋_GB2312" w:hAnsi="仿宋_GB2312" w:eastAsia="仿宋_GB2312"/>
          <w:sz w:val="30"/>
        </w:rPr>
        <w:t xml:space="preserve">3 </w:t>
      </w:r>
      <w:r>
        <w:rPr>
          <w:rFonts w:hint="eastAsia" w:ascii="仿宋_GB2312" w:hAnsi="仿宋_GB2312" w:eastAsia="仿宋_GB2312"/>
          <w:sz w:val="30"/>
        </w:rPr>
        <w:t>乙方应针对计算机软件著权登记申请项目涉及源代码的审核：按《计算机软件保护条例》或《计算机软件著作权登记办法》规定，对提交的源代码完成初步审核，确保行数达到基本要求，同时确保源代码的保密。</w:t>
      </w:r>
    </w:p>
    <w:p>
      <w:pPr>
        <w:pStyle w:val="2"/>
        <w:ind w:firstLine="0" w:firstLineChars="0"/>
        <w:rPr>
          <w:rFonts w:ascii="仿宋_GB2312" w:hAnsi="仿宋_GB2312" w:eastAsia="仿宋_GB2312"/>
          <w:sz w:val="30"/>
        </w:rPr>
      </w:pPr>
      <w:r>
        <w:rPr>
          <w:rFonts w:hint="eastAsia" w:ascii="仿宋_GB2312" w:hAnsi="仿宋_GB2312" w:eastAsia="仿宋_GB2312"/>
          <w:sz w:val="30"/>
        </w:rPr>
        <w:t>应答：</w:t>
      </w:r>
    </w:p>
    <w:p>
      <w:pPr>
        <w:widowControl/>
        <w:shd w:val="clear" w:color="auto" w:fill="FFFFFF"/>
        <w:adjustRightInd w:val="0"/>
        <w:snapToGrid w:val="0"/>
        <w:spacing w:line="360" w:lineRule="auto"/>
        <w:jc w:val="left"/>
        <w:rPr>
          <w:rFonts w:ascii="仿宋_GB2312" w:hAnsi="仿宋_GB2312" w:eastAsia="仿宋_GB2312"/>
          <w:sz w:val="30"/>
        </w:rPr>
      </w:pPr>
      <w:r>
        <w:rPr>
          <w:rFonts w:hint="eastAsia" w:ascii="仿宋_GB2312" w:hAnsi="仿宋_GB2312" w:cs="方正小标宋简体"/>
          <w:kern w:val="0"/>
          <w:sz w:val="32"/>
          <w:szCs w:val="36"/>
        </w:rPr>
        <w:t>2.</w:t>
      </w:r>
      <w:r>
        <w:rPr>
          <w:rFonts w:ascii="仿宋_GB2312" w:hAnsi="仿宋_GB2312" w:cs="方正小标宋简体"/>
          <w:kern w:val="0"/>
          <w:sz w:val="32"/>
          <w:szCs w:val="36"/>
        </w:rPr>
        <w:t xml:space="preserve">4 </w:t>
      </w:r>
      <w:r>
        <w:rPr>
          <w:rFonts w:hint="eastAsia" w:ascii="仿宋_GB2312" w:hAnsi="仿宋_GB2312" w:eastAsia="仿宋_GB2312"/>
          <w:sz w:val="30"/>
        </w:rPr>
        <w:t>乙方须按照版权局对于计算机软件著作权申请资料的规范要求，进行资料的梳理（包括格式、图片、文字描述等），做好系统上传、纸质资料邮寄。</w:t>
      </w:r>
    </w:p>
    <w:p>
      <w:pPr>
        <w:pStyle w:val="2"/>
        <w:spacing w:after="0"/>
        <w:ind w:firstLine="0" w:firstLineChars="0"/>
        <w:rPr>
          <w:rFonts w:ascii="仿宋_GB2312" w:hAnsi="仿宋_GB2312" w:eastAsia="仿宋_GB2312"/>
          <w:sz w:val="30"/>
        </w:rPr>
      </w:pPr>
      <w:r>
        <w:rPr>
          <w:rFonts w:hint="eastAsia" w:ascii="仿宋_GB2312" w:hAnsi="仿宋_GB2312" w:eastAsia="仿宋_GB2312"/>
          <w:sz w:val="30"/>
        </w:rPr>
        <w:t>应答：</w:t>
      </w:r>
    </w:p>
    <w:p>
      <w:pPr>
        <w:pStyle w:val="2"/>
        <w:spacing w:after="0"/>
        <w:ind w:firstLine="0" w:firstLineChars="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2.5 乙方进行流程全跟踪和处理。过程中有任何问题第一时间同版权局取得联系，提前对接相应处理。</w:t>
      </w:r>
    </w:p>
    <w:p>
      <w:pPr>
        <w:pStyle w:val="2"/>
        <w:spacing w:after="0"/>
        <w:ind w:firstLine="0" w:firstLineChars="0"/>
        <w:rPr>
          <w:rFonts w:ascii="仿宋_GB2312" w:hAnsi="仿宋_GB2312" w:eastAsia="仿宋_GB2312"/>
          <w:sz w:val="30"/>
        </w:rPr>
      </w:pPr>
      <w:r>
        <w:rPr>
          <w:rFonts w:ascii="仿宋_GB2312" w:hAnsi="仿宋_GB2312" w:eastAsia="仿宋_GB2312"/>
          <w:sz w:val="30"/>
        </w:rPr>
        <w:t>应答：</w:t>
      </w:r>
    </w:p>
    <w:p>
      <w:pPr>
        <w:pStyle w:val="2"/>
        <w:ind w:firstLine="0" w:firstLineChars="0"/>
        <w:rPr>
          <w:rFonts w:ascii="仿宋_GB2312" w:hAnsi="仿宋_GB2312" w:cs="方正小标宋简体"/>
          <w:kern w:val="0"/>
          <w:sz w:val="32"/>
          <w:szCs w:val="36"/>
        </w:rPr>
      </w:pPr>
      <w:r>
        <w:rPr>
          <w:rFonts w:hint="eastAsia" w:ascii="仿宋_GB2312" w:hAnsi="仿宋_GB2312" w:cs="方正小标宋简体"/>
          <w:kern w:val="0"/>
          <w:sz w:val="32"/>
          <w:szCs w:val="36"/>
        </w:rPr>
        <w:t>2.</w:t>
      </w:r>
      <w:r>
        <w:rPr>
          <w:rFonts w:ascii="仿宋_GB2312" w:hAnsi="仿宋_GB2312" w:cs="方正小标宋简体"/>
          <w:kern w:val="0"/>
          <w:sz w:val="32"/>
          <w:szCs w:val="36"/>
        </w:rPr>
        <w:t xml:space="preserve">6 </w:t>
      </w:r>
      <w:r>
        <w:rPr>
          <w:rFonts w:hint="eastAsia" w:ascii="仿宋_GB2312" w:hAnsi="仿宋_GB2312" w:eastAsia="仿宋_GB2312"/>
          <w:sz w:val="30"/>
          <w:szCs w:val="30"/>
        </w:rPr>
        <w:t>乙方</w:t>
      </w:r>
      <w:r>
        <w:rPr>
          <w:rFonts w:hint="eastAsia" w:ascii="仿宋_GB2312" w:hAnsi="仿宋_GB2312" w:eastAsia="仿宋_GB2312" w:cs="仿宋_GB2312"/>
          <w:color w:val="000000"/>
          <w:kern w:val="0"/>
          <w:sz w:val="30"/>
          <w:szCs w:val="30"/>
          <w:shd w:val="clear" w:color="auto" w:fill="FFFFFF"/>
        </w:rPr>
        <w:t>根据</w:t>
      </w:r>
      <w:r>
        <w:rPr>
          <w:rFonts w:hint="eastAsia" w:ascii="仿宋_GB2312" w:eastAsia="仿宋_GB2312"/>
          <w:color w:val="000000"/>
          <w:sz w:val="30"/>
          <w:szCs w:val="30"/>
        </w:rPr>
        <w:t>计算机软件著作权登记工作</w:t>
      </w:r>
      <w:r>
        <w:rPr>
          <w:rFonts w:hint="eastAsia" w:ascii="仿宋_GB2312" w:hAnsi="仿宋_GB2312" w:eastAsia="仿宋_GB2312" w:cs="仿宋_GB2312"/>
          <w:color w:val="000000"/>
          <w:kern w:val="0"/>
          <w:sz w:val="30"/>
          <w:szCs w:val="30"/>
          <w:shd w:val="clear" w:color="auto" w:fill="FFFFFF"/>
        </w:rPr>
        <w:t>安排，软件著作权登记注册分批进行，确保在规定时间内完成，</w:t>
      </w:r>
      <w:r>
        <w:rPr>
          <w:rFonts w:hint="eastAsia" w:ascii="仿宋_GB2312" w:hAnsi="仿宋_GB2312" w:eastAsia="仿宋_GB2312" w:cs="仿宋_GB2312"/>
          <w:kern w:val="0"/>
          <w:sz w:val="30"/>
          <w:szCs w:val="30"/>
          <w:shd w:val="clear" w:color="auto" w:fill="FFFFFF"/>
        </w:rPr>
        <w:t>及时取得软件著作权证书电子版和纸质版原件。</w:t>
      </w:r>
    </w:p>
    <w:p>
      <w:pPr>
        <w:pStyle w:val="2"/>
        <w:ind w:firstLine="0" w:firstLineChars="0"/>
        <w:rPr>
          <w:rFonts w:ascii="仿宋_GB2312" w:hAnsi="仿宋_GB2312" w:eastAsia="仿宋_GB2312"/>
          <w:sz w:val="30"/>
        </w:rPr>
      </w:pPr>
      <w:r>
        <w:rPr>
          <w:rFonts w:hint="eastAsia" w:ascii="仿宋_GB2312" w:hAnsi="仿宋_GB2312" w:eastAsia="仿宋_GB2312"/>
          <w:sz w:val="30"/>
        </w:rPr>
        <w:t>应答：</w:t>
      </w:r>
    </w:p>
    <w:p>
      <w:pPr>
        <w:pStyle w:val="4"/>
        <w:keepNext w:val="0"/>
        <w:keepLines w:val="0"/>
        <w:widowControl w:val="0"/>
        <w:numPr>
          <w:ilvl w:val="0"/>
          <w:numId w:val="0"/>
        </w:numPr>
        <w:spacing w:before="0" w:after="0" w:line="240" w:lineRule="auto"/>
        <w:ind w:left="0"/>
        <w:rPr>
          <w:rFonts w:ascii="仿宋_GB2312" w:hAnsi="仿宋_GB2312" w:eastAsia="仿宋_GB2312"/>
          <w:bCs/>
          <w:sz w:val="32"/>
        </w:rPr>
      </w:pPr>
      <w:bookmarkStart w:id="4" w:name="_Toc18943"/>
      <w:r>
        <w:rPr>
          <w:rFonts w:ascii="仿宋_GB2312" w:hAnsi="仿宋_GB2312" w:eastAsia="仿宋_GB2312"/>
          <w:bCs/>
          <w:sz w:val="32"/>
        </w:rPr>
        <w:t>3.</w:t>
      </w:r>
      <w:r>
        <w:rPr>
          <w:rFonts w:hint="eastAsia" w:ascii="仿宋_GB2312" w:hAnsi="仿宋_GB2312" w:eastAsia="仿宋_GB2312"/>
          <w:bCs/>
          <w:sz w:val="32"/>
        </w:rPr>
        <w:t>报价要求</w:t>
      </w:r>
    </w:p>
    <w:p>
      <w:pPr>
        <w:rPr>
          <w:rFonts w:ascii="仿宋_GB2312" w:hAnsi="仿宋_GB2312" w:eastAsia="仿宋_GB2312"/>
          <w:sz w:val="30"/>
        </w:rPr>
      </w:pPr>
      <w:r>
        <w:rPr>
          <w:rFonts w:ascii="仿宋_GB2312" w:hAnsi="仿宋_GB2312" w:eastAsia="仿宋_GB2312"/>
          <w:sz w:val="32"/>
        </w:rPr>
        <w:t xml:space="preserve">3.1 </w:t>
      </w:r>
      <w:r>
        <w:rPr>
          <w:rFonts w:hint="eastAsia" w:ascii="仿宋_GB2312" w:hAnsi="仿宋_GB2312" w:eastAsia="仿宋_GB2312"/>
          <w:sz w:val="30"/>
        </w:rPr>
        <w:t>乙方应以人民币为单位对2.1-2.</w:t>
      </w:r>
      <w:r>
        <w:rPr>
          <w:rFonts w:ascii="仿宋_GB2312" w:hAnsi="仿宋_GB2312" w:eastAsia="仿宋_GB2312"/>
          <w:sz w:val="30"/>
        </w:rPr>
        <w:t>6</w:t>
      </w:r>
      <w:r>
        <w:rPr>
          <w:rFonts w:hint="eastAsia" w:ascii="仿宋_GB2312" w:hAnsi="仿宋_GB2312" w:eastAsia="仿宋_GB2312"/>
          <w:sz w:val="30"/>
        </w:rPr>
        <w:t>所列服务内容进行报价，</w:t>
      </w:r>
      <w:r>
        <w:rPr>
          <w:rFonts w:hint="eastAsia" w:ascii="仿宋_GB2312" w:hAnsi="仿宋_GB2312" w:eastAsia="仿宋_GB2312" w:cs="仿宋_GB2312"/>
          <w:sz w:val="30"/>
        </w:rPr>
        <w:t>报价格式见下表</w:t>
      </w:r>
      <w:r>
        <w:rPr>
          <w:rFonts w:ascii="仿宋_GB2312" w:hAnsi="仿宋_GB2312" w:eastAsia="仿宋_GB2312"/>
          <w:sz w:val="30"/>
        </w:rPr>
        <w:t>：</w:t>
      </w:r>
    </w:p>
    <w:tbl>
      <w:tblPr>
        <w:tblStyle w:val="8"/>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1463"/>
        <w:gridCol w:w="1745"/>
        <w:gridCol w:w="1498"/>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142" w:type="dxa"/>
            <w:vAlign w:val="center"/>
          </w:tcPr>
          <w:p>
            <w:pPr>
              <w:ind w:firstLine="240" w:firstLineChars="100"/>
              <w:jc w:val="center"/>
              <w:rPr>
                <w:rFonts w:ascii="仿宋" w:hAnsi="仿宋" w:eastAsia="仿宋" w:cs="仿宋"/>
                <w:sz w:val="24"/>
                <w:szCs w:val="24"/>
              </w:rPr>
            </w:pPr>
            <w:r>
              <w:rPr>
                <w:rFonts w:hint="eastAsia" w:ascii="仿宋" w:hAnsi="仿宋" w:eastAsia="仿宋" w:cs="仿宋"/>
                <w:sz w:val="24"/>
                <w:szCs w:val="24"/>
              </w:rPr>
              <w:t>服务内容</w:t>
            </w:r>
          </w:p>
        </w:tc>
        <w:tc>
          <w:tcPr>
            <w:tcW w:w="1463" w:type="dxa"/>
            <w:vAlign w:val="center"/>
          </w:tcPr>
          <w:p>
            <w:pPr>
              <w:jc w:val="center"/>
              <w:rPr>
                <w:rFonts w:ascii="仿宋" w:hAnsi="仿宋" w:eastAsia="仿宋" w:cs="仿宋"/>
                <w:sz w:val="24"/>
                <w:szCs w:val="24"/>
              </w:rPr>
            </w:pPr>
            <w:r>
              <w:rPr>
                <w:rFonts w:hint="eastAsia" w:ascii="仿宋" w:hAnsi="仿宋" w:eastAsia="仿宋" w:cs="仿宋"/>
                <w:sz w:val="24"/>
                <w:szCs w:val="24"/>
              </w:rPr>
              <w:t>期限</w:t>
            </w:r>
          </w:p>
        </w:tc>
        <w:tc>
          <w:tcPr>
            <w:tcW w:w="1745" w:type="dxa"/>
            <w:vAlign w:val="center"/>
          </w:tcPr>
          <w:p>
            <w:pPr>
              <w:rPr>
                <w:rFonts w:ascii="仿宋" w:hAnsi="仿宋" w:eastAsia="仿宋" w:cs="仿宋"/>
                <w:sz w:val="24"/>
                <w:szCs w:val="24"/>
              </w:rPr>
            </w:pPr>
            <w:r>
              <w:rPr>
                <w:rFonts w:hint="eastAsia" w:ascii="仿宋" w:hAnsi="仿宋" w:eastAsia="仿宋" w:cs="仿宋"/>
                <w:sz w:val="24"/>
                <w:szCs w:val="24"/>
              </w:rPr>
              <w:t>不含税价（万元）</w:t>
            </w:r>
          </w:p>
        </w:tc>
        <w:tc>
          <w:tcPr>
            <w:tcW w:w="1498" w:type="dxa"/>
            <w:vAlign w:val="center"/>
          </w:tcPr>
          <w:p>
            <w:pPr>
              <w:jc w:val="center"/>
              <w:rPr>
                <w:rFonts w:ascii="仿宋" w:hAnsi="仿宋" w:eastAsia="仿宋" w:cs="仿宋"/>
                <w:sz w:val="24"/>
                <w:szCs w:val="24"/>
              </w:rPr>
            </w:pPr>
            <w:r>
              <w:rPr>
                <w:rFonts w:hint="eastAsia" w:ascii="仿宋" w:hAnsi="仿宋" w:eastAsia="仿宋" w:cs="仿宋"/>
                <w:sz w:val="24"/>
                <w:szCs w:val="24"/>
              </w:rPr>
              <w:t>税率</w:t>
            </w:r>
          </w:p>
          <w:p>
            <w:pPr>
              <w:jc w:val="center"/>
              <w:rPr>
                <w:rFonts w:ascii="仿宋" w:hAnsi="仿宋" w:eastAsia="仿宋" w:cs="仿宋"/>
                <w:sz w:val="24"/>
                <w:szCs w:val="24"/>
                <w:highlight w:val="yellow"/>
              </w:rPr>
            </w:pPr>
            <w:r>
              <w:rPr>
                <w:rFonts w:hint="eastAsia" w:ascii="仿宋" w:hAnsi="仿宋" w:eastAsia="仿宋" w:cs="仿宋"/>
                <w:sz w:val="24"/>
                <w:szCs w:val="24"/>
              </w:rPr>
              <w:t>（%）</w:t>
            </w:r>
          </w:p>
        </w:tc>
        <w:tc>
          <w:tcPr>
            <w:tcW w:w="1673" w:type="dxa"/>
            <w:vAlign w:val="center"/>
          </w:tcPr>
          <w:p>
            <w:pPr>
              <w:jc w:val="center"/>
              <w:rPr>
                <w:rFonts w:ascii="仿宋" w:hAnsi="仿宋" w:eastAsia="仿宋" w:cs="仿宋"/>
                <w:sz w:val="24"/>
                <w:szCs w:val="24"/>
              </w:rPr>
            </w:pPr>
            <w:r>
              <w:rPr>
                <w:rFonts w:hint="eastAsia" w:ascii="仿宋" w:hAnsi="仿宋" w:eastAsia="仿宋" w:cs="仿宋"/>
                <w:sz w:val="24"/>
                <w:szCs w:val="24"/>
              </w:rPr>
              <w:t>总价</w:t>
            </w:r>
          </w:p>
          <w:p>
            <w:pPr>
              <w:jc w:val="center"/>
              <w:rPr>
                <w:rFonts w:ascii="仿宋" w:hAnsi="仿宋" w:eastAsia="仿宋" w:cs="仿宋"/>
                <w:sz w:val="24"/>
                <w:szCs w:val="24"/>
              </w:rPr>
            </w:pPr>
            <w:r>
              <w:rPr>
                <w:rFonts w:hint="eastAsia" w:ascii="仿宋" w:hAnsi="仿宋" w:eastAsia="仿宋" w:cs="仿宋"/>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jc w:val="center"/>
        </w:trPr>
        <w:tc>
          <w:tcPr>
            <w:tcW w:w="2142" w:type="dxa"/>
            <w:vAlign w:val="center"/>
          </w:tcPr>
          <w:p>
            <w:pPr>
              <w:jc w:val="center"/>
              <w:rPr>
                <w:sz w:val="28"/>
                <w:szCs w:val="28"/>
              </w:rPr>
            </w:pPr>
            <w:r>
              <w:rPr>
                <w:rFonts w:hint="eastAsia" w:ascii="仿宋_GB2312" w:hAnsi="仿宋_GB2312" w:eastAsia="仿宋_GB2312"/>
                <w:sz w:val="28"/>
                <w:szCs w:val="28"/>
              </w:rPr>
              <w:t>河南省分公司计算机软件著作权登记服务</w:t>
            </w:r>
          </w:p>
        </w:tc>
        <w:tc>
          <w:tcPr>
            <w:tcW w:w="1463" w:type="dxa"/>
            <w:tcBorders>
              <w:left w:val="single" w:color="auto" w:sz="4" w:space="0"/>
            </w:tcBorders>
            <w:vAlign w:val="center"/>
          </w:tcPr>
          <w:p>
            <w:pPr>
              <w:jc w:val="center"/>
              <w:rPr>
                <w:sz w:val="28"/>
                <w:szCs w:val="28"/>
              </w:rPr>
            </w:pPr>
            <w:r>
              <w:rPr>
                <w:rFonts w:ascii="仿宋_GB2312" w:hAnsi="仿宋_GB2312" w:eastAsia="仿宋_GB2312"/>
                <w:sz w:val="28"/>
                <w:szCs w:val="28"/>
              </w:rPr>
              <w:t>1</w:t>
            </w:r>
            <w:r>
              <w:rPr>
                <w:rFonts w:hint="eastAsia" w:ascii="仿宋_GB2312" w:hAnsi="仿宋_GB2312" w:eastAsia="仿宋_GB2312"/>
                <w:sz w:val="28"/>
                <w:szCs w:val="28"/>
              </w:rPr>
              <w:t>年</w:t>
            </w:r>
          </w:p>
        </w:tc>
        <w:tc>
          <w:tcPr>
            <w:tcW w:w="1745" w:type="dxa"/>
            <w:tcBorders>
              <w:left w:val="single" w:color="auto" w:sz="4" w:space="0"/>
            </w:tcBorders>
            <w:vAlign w:val="center"/>
          </w:tcPr>
          <w:p>
            <w:pPr>
              <w:jc w:val="center"/>
              <w:rPr>
                <w:sz w:val="24"/>
                <w:szCs w:val="24"/>
              </w:rPr>
            </w:pPr>
          </w:p>
        </w:tc>
        <w:tc>
          <w:tcPr>
            <w:tcW w:w="1498" w:type="dxa"/>
            <w:tcBorders>
              <w:left w:val="single" w:color="auto" w:sz="4" w:space="0"/>
            </w:tcBorders>
            <w:vAlign w:val="center"/>
          </w:tcPr>
          <w:p>
            <w:pPr>
              <w:jc w:val="center"/>
              <w:rPr>
                <w:sz w:val="24"/>
                <w:szCs w:val="24"/>
                <w:highlight w:val="yellow"/>
              </w:rPr>
            </w:pPr>
          </w:p>
        </w:tc>
        <w:tc>
          <w:tcPr>
            <w:tcW w:w="1673" w:type="dxa"/>
            <w:tcBorders>
              <w:left w:val="single" w:color="auto" w:sz="4" w:space="0"/>
            </w:tcBorders>
            <w:vAlign w:val="center"/>
          </w:tcPr>
          <w:p>
            <w:pPr>
              <w:jc w:val="center"/>
              <w:rPr>
                <w:sz w:val="24"/>
                <w:szCs w:val="24"/>
              </w:rPr>
            </w:pPr>
          </w:p>
        </w:tc>
      </w:tr>
    </w:tbl>
    <w:p>
      <w:pPr>
        <w:pStyle w:val="7"/>
        <w:ind w:left="0" w:leftChars="0" w:firstLine="0" w:firstLineChars="0"/>
      </w:pPr>
    </w:p>
    <w:p>
      <w:pPr>
        <w:pStyle w:val="7"/>
        <w:ind w:left="0" w:leftChars="0" w:firstLine="0" w:firstLineChars="0"/>
        <w:rPr>
          <w:rFonts w:ascii="仿宋_GB2312" w:hAnsi="仿宋_GB2312"/>
          <w:sz w:val="30"/>
        </w:rPr>
      </w:pPr>
      <w:r>
        <w:rPr>
          <w:rFonts w:hint="eastAsia" w:ascii="仿宋_GB2312" w:hAnsi="仿宋_GB2312"/>
          <w:sz w:val="30"/>
        </w:rPr>
        <w:t>应答：</w:t>
      </w:r>
    </w:p>
    <w:p>
      <w:pPr>
        <w:pStyle w:val="4"/>
        <w:keepNext w:val="0"/>
        <w:keepLines w:val="0"/>
        <w:widowControl w:val="0"/>
        <w:numPr>
          <w:ilvl w:val="0"/>
          <w:numId w:val="0"/>
        </w:numPr>
        <w:spacing w:before="0" w:after="0" w:line="240" w:lineRule="auto"/>
        <w:ind w:left="0"/>
        <w:rPr>
          <w:rFonts w:ascii="仿宋_GB2312" w:hAnsi="仿宋_GB2312" w:eastAsia="仿宋_GB2312"/>
          <w:bCs/>
          <w:sz w:val="32"/>
        </w:rPr>
      </w:pPr>
      <w:r>
        <w:rPr>
          <w:rFonts w:ascii="仿宋_GB2312" w:hAnsi="仿宋_GB2312" w:eastAsia="仿宋_GB2312"/>
          <w:bCs/>
          <w:sz w:val="32"/>
        </w:rPr>
        <w:t>4.</w:t>
      </w:r>
      <w:r>
        <w:rPr>
          <w:rFonts w:hint="eastAsia" w:ascii="仿宋_GB2312" w:hAnsi="仿宋_GB2312" w:eastAsia="仿宋_GB2312"/>
          <w:bCs/>
          <w:sz w:val="32"/>
        </w:rPr>
        <w:t>乙方资质要求</w:t>
      </w:r>
      <w:bookmarkEnd w:id="4"/>
    </w:p>
    <w:p>
      <w:pPr>
        <w:pStyle w:val="5"/>
        <w:keepNext w:val="0"/>
        <w:keepLines w:val="0"/>
        <w:widowControl w:val="0"/>
        <w:tabs>
          <w:tab w:val="left" w:pos="0"/>
        </w:tabs>
        <w:spacing w:before="0" w:after="0" w:line="240" w:lineRule="auto"/>
        <w:ind w:left="15" w:hanging="15"/>
        <w:rPr>
          <w:rFonts w:ascii="仿宋_GB2312" w:hAnsi="仿宋_GB2312" w:eastAsia="仿宋_GB2312"/>
          <w:b w:val="0"/>
          <w:sz w:val="30"/>
        </w:rPr>
      </w:pPr>
      <w:r>
        <w:rPr>
          <w:rFonts w:hint="eastAsia" w:ascii="仿宋_GB2312" w:hAnsi="仿宋_GB2312" w:eastAsia="仿宋_GB2312"/>
          <w:b w:val="0"/>
          <w:sz w:val="30"/>
        </w:rPr>
        <w:t>乙方须具有计算机软件著作权登记经验，并提供以往申请成果。</w:t>
      </w:r>
    </w:p>
    <w:p>
      <w:pPr>
        <w:rPr>
          <w:color w:val="FF0000"/>
        </w:rPr>
      </w:pPr>
      <w:r>
        <w:rPr>
          <w:rFonts w:hint="eastAsia" w:ascii="仿宋_GB2312" w:hAnsi="仿宋_GB2312" w:eastAsia="仿宋_GB2312"/>
          <w:sz w:val="30"/>
        </w:rPr>
        <w:t>应答：</w:t>
      </w:r>
    </w:p>
    <w:p>
      <w:pPr>
        <w:pStyle w:val="4"/>
        <w:keepNext w:val="0"/>
        <w:keepLines w:val="0"/>
        <w:widowControl w:val="0"/>
        <w:numPr>
          <w:ilvl w:val="0"/>
          <w:numId w:val="0"/>
        </w:numPr>
        <w:spacing w:before="0" w:after="0" w:line="240" w:lineRule="auto"/>
        <w:ind w:left="0"/>
        <w:rPr>
          <w:rFonts w:ascii="仿宋_GB2312" w:hAnsi="仿宋_GB2312" w:eastAsia="仿宋_GB2312"/>
          <w:bCs/>
          <w:sz w:val="32"/>
        </w:rPr>
      </w:pPr>
      <w:bookmarkStart w:id="5" w:name="_Toc15405"/>
      <w:r>
        <w:rPr>
          <w:rFonts w:ascii="仿宋_GB2312" w:hAnsi="仿宋_GB2312" w:eastAsia="仿宋_GB2312"/>
          <w:bCs/>
          <w:sz w:val="32"/>
        </w:rPr>
        <w:t>5.</w:t>
      </w:r>
      <w:r>
        <w:rPr>
          <w:rFonts w:hint="eastAsia" w:ascii="仿宋_GB2312" w:hAnsi="仿宋_GB2312" w:eastAsia="仿宋_GB2312"/>
          <w:bCs/>
          <w:sz w:val="32"/>
        </w:rPr>
        <w:t>服务要求</w:t>
      </w:r>
      <w:bookmarkEnd w:id="5"/>
    </w:p>
    <w:p>
      <w:pPr>
        <w:pStyle w:val="5"/>
        <w:keepNext w:val="0"/>
        <w:keepLines w:val="0"/>
        <w:widowControl w:val="0"/>
        <w:tabs>
          <w:tab w:val="left" w:pos="0"/>
        </w:tabs>
        <w:spacing w:before="0" w:after="0" w:line="240" w:lineRule="auto"/>
        <w:ind w:left="15" w:hanging="15"/>
        <w:rPr>
          <w:rFonts w:ascii="仿宋_GB2312" w:hAnsi="仿宋_GB2312" w:eastAsia="仿宋_GB2312"/>
          <w:b w:val="0"/>
          <w:sz w:val="30"/>
        </w:rPr>
      </w:pPr>
      <w:r>
        <w:rPr>
          <w:rFonts w:ascii="仿宋_GB2312" w:hAnsi="仿宋_GB2312" w:eastAsia="仿宋_GB2312"/>
          <w:b w:val="0"/>
          <w:sz w:val="30"/>
        </w:rPr>
        <w:t xml:space="preserve">5.1 </w:t>
      </w:r>
      <w:r>
        <w:rPr>
          <w:rFonts w:hint="eastAsia" w:ascii="仿宋_GB2312" w:hAnsi="仿宋_GB2312" w:eastAsia="仿宋_GB2312"/>
          <w:b w:val="0"/>
          <w:sz w:val="30"/>
        </w:rPr>
        <w:t>乙方应在合同签订并接到甲方通知后开始进行计算机软件著作权登记申请。</w:t>
      </w:r>
    </w:p>
    <w:p>
      <w:r>
        <w:rPr>
          <w:rFonts w:hint="eastAsia" w:ascii="仿宋_GB2312" w:hAnsi="仿宋_GB2312" w:eastAsia="仿宋_GB2312"/>
          <w:sz w:val="30"/>
        </w:rPr>
        <w:t>应搭：</w:t>
      </w:r>
    </w:p>
    <w:p>
      <w:pPr>
        <w:pStyle w:val="5"/>
        <w:keepNext w:val="0"/>
        <w:keepLines w:val="0"/>
        <w:widowControl w:val="0"/>
        <w:spacing w:before="0" w:after="0"/>
        <w:ind w:left="15" w:hanging="15"/>
        <w:rPr>
          <w:rFonts w:ascii="仿宋_GB2312" w:hAnsi="仿宋_GB2312" w:eastAsia="仿宋_GB2312"/>
          <w:b w:val="0"/>
          <w:color w:val="auto"/>
          <w:sz w:val="30"/>
        </w:rPr>
      </w:pPr>
      <w:r>
        <w:rPr>
          <w:rFonts w:ascii="仿宋_GB2312" w:hAnsi="仿宋_GB2312" w:eastAsia="仿宋_GB2312"/>
          <w:b w:val="0"/>
          <w:color w:val="auto"/>
          <w:sz w:val="30"/>
        </w:rPr>
        <w:t xml:space="preserve">5.2 </w:t>
      </w:r>
      <w:r>
        <w:rPr>
          <w:rFonts w:hint="eastAsia" w:ascii="仿宋_GB2312" w:hAnsi="仿宋_GB2312" w:eastAsia="仿宋_GB2312"/>
          <w:b w:val="0"/>
          <w:color w:val="auto"/>
          <w:sz w:val="30"/>
        </w:rPr>
        <w:t>乙方应针对本服务项目指定专人，收到甲方项目资料提交之后1个工作日内响应。</w:t>
      </w:r>
    </w:p>
    <w:p>
      <w:pPr>
        <w:outlineLvl w:val="2"/>
        <w:rPr>
          <w:rFonts w:ascii="仿宋_GB2312" w:hAnsi="仿宋_GB2312" w:eastAsia="仿宋_GB2312"/>
          <w:sz w:val="30"/>
        </w:rPr>
      </w:pPr>
      <w:r>
        <w:rPr>
          <w:rFonts w:hint="eastAsia" w:ascii="仿宋_GB2312" w:hAnsi="仿宋_GB2312" w:eastAsia="仿宋_GB2312"/>
          <w:sz w:val="30"/>
        </w:rPr>
        <w:t>应答：</w:t>
      </w:r>
    </w:p>
    <w:p>
      <w:pPr>
        <w:pStyle w:val="5"/>
        <w:keepNext w:val="0"/>
        <w:keepLines w:val="0"/>
        <w:widowControl w:val="0"/>
        <w:spacing w:before="0" w:after="0"/>
        <w:ind w:left="15" w:hanging="15"/>
        <w:rPr>
          <w:rFonts w:ascii="仿宋_GB2312" w:hAnsi="仿宋_GB2312" w:eastAsia="仿宋_GB2312"/>
          <w:b w:val="0"/>
          <w:sz w:val="30"/>
        </w:rPr>
      </w:pPr>
      <w:r>
        <w:rPr>
          <w:rFonts w:ascii="仿宋_GB2312" w:hAnsi="仿宋_GB2312" w:eastAsia="仿宋_GB2312"/>
          <w:b w:val="0"/>
          <w:sz w:val="30"/>
        </w:rPr>
        <w:t xml:space="preserve">5.3 </w:t>
      </w:r>
      <w:r>
        <w:rPr>
          <w:rFonts w:hint="eastAsia" w:ascii="仿宋_GB2312" w:hAnsi="仿宋_GB2312" w:eastAsia="仿宋_GB2312"/>
          <w:b w:val="0"/>
          <w:sz w:val="30"/>
        </w:rPr>
        <w:t>乙方应根据甲方服务要求，在甲方项目资料提交10个工作日内完成项目资料审核、系统上传，并向甲方提交《计算机软件著作权登记新系统信息采集表》。</w:t>
      </w:r>
    </w:p>
    <w:p>
      <w:pPr>
        <w:pStyle w:val="5"/>
        <w:keepNext w:val="0"/>
        <w:keepLines w:val="0"/>
        <w:widowControl w:val="0"/>
        <w:spacing w:before="0" w:after="0"/>
        <w:rPr>
          <w:rFonts w:ascii="仿宋_GB2312" w:hAnsi="仿宋_GB2312" w:eastAsia="仿宋_GB2312"/>
          <w:b w:val="0"/>
          <w:sz w:val="30"/>
        </w:rPr>
      </w:pPr>
      <w:r>
        <w:rPr>
          <w:rFonts w:hint="eastAsia" w:ascii="仿宋_GB2312" w:hAnsi="仿宋_GB2312" w:eastAsia="仿宋_GB2312"/>
          <w:b w:val="0"/>
          <w:sz w:val="30"/>
        </w:rPr>
        <w:t>应答：</w:t>
      </w:r>
    </w:p>
    <w:p>
      <w:pPr>
        <w:pStyle w:val="5"/>
        <w:keepNext w:val="0"/>
        <w:keepLines w:val="0"/>
        <w:widowControl w:val="0"/>
        <w:spacing w:before="0" w:after="0"/>
        <w:ind w:left="15" w:hanging="15"/>
        <w:rPr>
          <w:rFonts w:ascii="仿宋_GB2312" w:hAnsi="仿宋_GB2312" w:eastAsia="仿宋_GB2312"/>
          <w:b w:val="0"/>
          <w:sz w:val="30"/>
        </w:rPr>
      </w:pPr>
      <w:r>
        <w:rPr>
          <w:rFonts w:ascii="仿宋_GB2312" w:hAnsi="仿宋_GB2312" w:eastAsia="仿宋_GB2312"/>
          <w:b w:val="0"/>
          <w:sz w:val="30"/>
        </w:rPr>
        <w:t xml:space="preserve">5.4 </w:t>
      </w:r>
      <w:r>
        <w:rPr>
          <w:rFonts w:hint="eastAsia" w:ascii="仿宋_GB2312" w:hAnsi="仿宋_GB2312" w:eastAsia="仿宋_GB2312"/>
          <w:b w:val="0"/>
          <w:sz w:val="30"/>
        </w:rPr>
        <w:t>乙方保证计算机软件著作权登记流程顺利进行，确保计算机软件著作权登记必须在约定时间内完成，确保登记注册通过率。</w:t>
      </w:r>
    </w:p>
    <w:p>
      <w:r>
        <w:rPr>
          <w:rFonts w:hint="eastAsia" w:ascii="仿宋_GB2312" w:hAnsi="仿宋_GB2312" w:eastAsia="仿宋_GB2312"/>
          <w:sz w:val="30"/>
        </w:rPr>
        <w:t>应答：</w:t>
      </w:r>
    </w:p>
    <w:p>
      <w:pPr>
        <w:pStyle w:val="4"/>
        <w:keepNext w:val="0"/>
        <w:keepLines w:val="0"/>
        <w:widowControl w:val="0"/>
        <w:numPr>
          <w:ilvl w:val="0"/>
          <w:numId w:val="0"/>
        </w:numPr>
        <w:spacing w:before="0" w:after="0" w:line="240" w:lineRule="auto"/>
        <w:ind w:left="0"/>
        <w:rPr>
          <w:rFonts w:ascii="仿宋_GB2312" w:hAnsi="仿宋_GB2312" w:eastAsia="仿宋_GB2312"/>
          <w:bCs/>
          <w:sz w:val="32"/>
        </w:rPr>
      </w:pPr>
      <w:bookmarkStart w:id="6" w:name="_Toc18777"/>
      <w:r>
        <w:rPr>
          <w:rFonts w:ascii="仿宋_GB2312" w:hAnsi="仿宋_GB2312" w:eastAsia="仿宋_GB2312"/>
          <w:bCs/>
          <w:sz w:val="32"/>
        </w:rPr>
        <w:t>6.</w:t>
      </w:r>
      <w:r>
        <w:rPr>
          <w:rFonts w:hint="eastAsia" w:ascii="仿宋_GB2312" w:hAnsi="仿宋_GB2312" w:eastAsia="仿宋_GB2312"/>
          <w:bCs/>
          <w:sz w:val="32"/>
        </w:rPr>
        <w:t>项目管理</w:t>
      </w:r>
      <w:bookmarkEnd w:id="6"/>
    </w:p>
    <w:p>
      <w:pPr>
        <w:tabs>
          <w:tab w:val="left" w:pos="0"/>
        </w:tabs>
        <w:outlineLvl w:val="1"/>
        <w:rPr>
          <w:rFonts w:ascii="仿宋_GB2312" w:hAnsi="仿宋_GB2312" w:eastAsia="仿宋_GB2312"/>
          <w:sz w:val="30"/>
        </w:rPr>
      </w:pPr>
      <w:r>
        <w:rPr>
          <w:rFonts w:ascii="仿宋_GB2312" w:hAnsi="仿宋_GB2312" w:eastAsia="仿宋_GB2312"/>
          <w:sz w:val="30"/>
        </w:rPr>
        <w:t xml:space="preserve">6.1 </w:t>
      </w:r>
      <w:r>
        <w:rPr>
          <w:rFonts w:hint="eastAsia" w:ascii="仿宋_GB2312" w:hAnsi="仿宋_GB2312" w:eastAsia="仿宋_GB2312"/>
          <w:sz w:val="30"/>
        </w:rPr>
        <w:t>乙方不得将本次服务变相转包给第三方。</w:t>
      </w:r>
    </w:p>
    <w:p>
      <w:pPr>
        <w:tabs>
          <w:tab w:val="left" w:pos="0"/>
        </w:tabs>
        <w:outlineLvl w:val="1"/>
        <w:rPr>
          <w:rFonts w:ascii="仿宋_GB2312" w:hAnsi="仿宋_GB2312" w:eastAsia="仿宋_GB2312"/>
          <w:sz w:val="30"/>
        </w:rPr>
      </w:pPr>
      <w:r>
        <w:rPr>
          <w:rFonts w:hint="eastAsia" w:ascii="仿宋_GB2312" w:hAnsi="仿宋_GB2312" w:eastAsia="仿宋_GB2312"/>
          <w:sz w:val="30"/>
        </w:rPr>
        <w:t>应答：</w:t>
      </w:r>
    </w:p>
    <w:p>
      <w:pPr>
        <w:tabs>
          <w:tab w:val="left" w:pos="0"/>
        </w:tabs>
        <w:outlineLvl w:val="1"/>
        <w:rPr>
          <w:rFonts w:ascii="仿宋_GB2312" w:hAnsi="仿宋_GB2312" w:eastAsia="仿宋_GB2312"/>
          <w:sz w:val="30"/>
        </w:rPr>
      </w:pPr>
      <w:r>
        <w:rPr>
          <w:rFonts w:ascii="仿宋_GB2312" w:hAnsi="仿宋_GB2312" w:eastAsia="仿宋_GB2312"/>
          <w:sz w:val="30"/>
        </w:rPr>
        <w:t xml:space="preserve">6.2 </w:t>
      </w:r>
      <w:r>
        <w:rPr>
          <w:rFonts w:hint="eastAsia" w:ascii="仿宋_GB2312" w:hAnsi="仿宋_GB2312" w:eastAsia="仿宋_GB2312"/>
          <w:sz w:val="30"/>
        </w:rPr>
        <w:t>乙方应在保证通过率的前提下，按计划推进工作，保证甲方对工作进度，并服从甲方安排和调配，按时完成工作任务。</w:t>
      </w:r>
    </w:p>
    <w:p>
      <w:pPr>
        <w:tabs>
          <w:tab w:val="left" w:pos="0"/>
        </w:tabs>
        <w:outlineLvl w:val="1"/>
        <w:rPr>
          <w:rFonts w:ascii="仿宋_GB2312" w:hAnsi="仿宋_GB2312" w:eastAsia="仿宋_GB2312"/>
          <w:sz w:val="30"/>
        </w:rPr>
      </w:pPr>
      <w:r>
        <w:rPr>
          <w:rFonts w:hint="eastAsia" w:ascii="仿宋_GB2312" w:hAnsi="仿宋_GB2312" w:eastAsia="仿宋_GB2312"/>
          <w:sz w:val="30"/>
        </w:rPr>
        <w:t>应答：</w:t>
      </w:r>
    </w:p>
    <w:p>
      <w:pPr>
        <w:tabs>
          <w:tab w:val="left" w:pos="0"/>
        </w:tabs>
        <w:outlineLvl w:val="1"/>
        <w:rPr>
          <w:rFonts w:ascii="仿宋_GB2312" w:hAnsi="仿宋_GB2312" w:eastAsia="仿宋_GB2312"/>
          <w:sz w:val="30"/>
        </w:rPr>
      </w:pPr>
      <w:r>
        <w:rPr>
          <w:rFonts w:ascii="仿宋_GB2312" w:hAnsi="仿宋_GB2312" w:eastAsia="仿宋_GB2312"/>
          <w:sz w:val="30"/>
        </w:rPr>
        <w:t xml:space="preserve">6.3 </w:t>
      </w:r>
      <w:r>
        <w:rPr>
          <w:rFonts w:hint="eastAsia" w:ascii="仿宋_GB2312" w:hAnsi="仿宋_GB2312" w:eastAsia="仿宋_GB2312"/>
          <w:sz w:val="30"/>
        </w:rPr>
        <w:t>乙方应承诺向甲方提供持续性的服务，不得随意造成服务停滞、延误的情形发生，确保软件著作权登记的时间必须在约定时间内完成。定期向甲方通报服务的开展情况及其他相关事项。</w:t>
      </w:r>
    </w:p>
    <w:p>
      <w:pPr>
        <w:tabs>
          <w:tab w:val="left" w:pos="0"/>
        </w:tabs>
        <w:outlineLvl w:val="1"/>
        <w:rPr>
          <w:rFonts w:ascii="仿宋_GB2312" w:hAnsi="仿宋_GB2312" w:eastAsia="仿宋_GB2312"/>
          <w:sz w:val="30"/>
        </w:rPr>
      </w:pPr>
      <w:r>
        <w:rPr>
          <w:rFonts w:hint="eastAsia" w:ascii="仿宋_GB2312" w:hAnsi="仿宋_GB2312" w:eastAsia="仿宋_GB2312"/>
          <w:sz w:val="30"/>
        </w:rPr>
        <w:t>应答：</w:t>
      </w:r>
    </w:p>
    <w:p>
      <w:pPr>
        <w:pStyle w:val="4"/>
        <w:keepNext w:val="0"/>
        <w:keepLines w:val="0"/>
        <w:widowControl w:val="0"/>
        <w:numPr>
          <w:ilvl w:val="0"/>
          <w:numId w:val="0"/>
        </w:numPr>
        <w:spacing w:before="0" w:after="0" w:line="240" w:lineRule="auto"/>
        <w:ind w:left="0"/>
        <w:rPr>
          <w:rFonts w:ascii="仿宋_GB2312" w:hAnsi="仿宋_GB2312" w:eastAsia="仿宋_GB2312"/>
          <w:bCs/>
          <w:sz w:val="32"/>
        </w:rPr>
      </w:pPr>
      <w:bookmarkStart w:id="7" w:name="_Toc8780"/>
      <w:r>
        <w:rPr>
          <w:rFonts w:ascii="仿宋_GB2312" w:hAnsi="仿宋_GB2312" w:eastAsia="仿宋_GB2312"/>
          <w:bCs/>
          <w:sz w:val="32"/>
        </w:rPr>
        <w:t>7.</w:t>
      </w:r>
      <w:r>
        <w:rPr>
          <w:rFonts w:hint="eastAsia" w:ascii="仿宋_GB2312" w:hAnsi="仿宋_GB2312" w:eastAsia="仿宋_GB2312"/>
          <w:bCs/>
          <w:sz w:val="32"/>
        </w:rPr>
        <w:t>保密协议</w:t>
      </w:r>
      <w:bookmarkEnd w:id="7"/>
    </w:p>
    <w:p>
      <w:pPr>
        <w:tabs>
          <w:tab w:val="left" w:pos="0"/>
        </w:tabs>
        <w:outlineLvl w:val="1"/>
        <w:rPr>
          <w:rFonts w:ascii="仿宋_GB2312" w:hAnsi="仿宋_GB2312" w:eastAsia="仿宋_GB2312"/>
          <w:sz w:val="30"/>
        </w:rPr>
      </w:pPr>
      <w:r>
        <w:rPr>
          <w:rFonts w:hint="eastAsia" w:ascii="仿宋_GB2312" w:hAnsi="仿宋_GB2312" w:eastAsia="仿宋_GB2312"/>
          <w:sz w:val="30"/>
        </w:rPr>
        <w:t>7.1 甲乙双方在服务合同订立及履行过程中知悉的对方商业秘密等资料，无论服务合同是否成立，不得泄密或不正当使用。泄密或不正当使用对方商业秘密给对方造成损失的，泄密方应当承担赔偿责任。</w:t>
      </w:r>
    </w:p>
    <w:p>
      <w:pPr>
        <w:tabs>
          <w:tab w:val="left" w:pos="0"/>
        </w:tabs>
        <w:outlineLvl w:val="1"/>
        <w:rPr>
          <w:rFonts w:ascii="仿宋_GB2312" w:hAnsi="仿宋_GB2312" w:eastAsia="仿宋_GB2312"/>
          <w:sz w:val="30"/>
        </w:rPr>
      </w:pPr>
      <w:r>
        <w:rPr>
          <w:rFonts w:hint="eastAsia" w:ascii="仿宋_GB2312" w:hAnsi="仿宋_GB2312" w:eastAsia="仿宋_GB2312"/>
          <w:sz w:val="30"/>
        </w:rPr>
        <w:t>应答：</w:t>
      </w:r>
    </w:p>
    <w:p>
      <w:pPr>
        <w:tabs>
          <w:tab w:val="left" w:pos="0"/>
        </w:tabs>
        <w:outlineLvl w:val="1"/>
        <w:rPr>
          <w:rFonts w:ascii="仿宋_GB2312" w:hAnsi="仿宋_GB2312" w:eastAsia="仿宋_GB2312"/>
          <w:sz w:val="30"/>
        </w:rPr>
      </w:pPr>
      <w:r>
        <w:rPr>
          <w:rFonts w:hint="eastAsia" w:ascii="仿宋_GB2312" w:hAnsi="仿宋_GB2312" w:eastAsia="仿宋_GB2312"/>
          <w:sz w:val="30"/>
        </w:rPr>
        <w:t>7.2 本服务所涉及的相关秘密资料包括但不限于由甲方向乙方通过口头、书面、电子或其他方式提供的关于技术、系统安全及其他方面的一切数据、报告、信息、翻译资料、预测和记录等，这些资料未经甲方许可，不得对外透露。</w:t>
      </w:r>
    </w:p>
    <w:p>
      <w:pPr>
        <w:tabs>
          <w:tab w:val="left" w:pos="0"/>
        </w:tabs>
        <w:outlineLvl w:val="1"/>
        <w:rPr>
          <w:rFonts w:ascii="仿宋_GB2312" w:hAnsi="仿宋_GB2312" w:eastAsia="仿宋_GB2312"/>
          <w:sz w:val="30"/>
        </w:rPr>
      </w:pPr>
      <w:r>
        <w:rPr>
          <w:rFonts w:hint="eastAsia" w:ascii="仿宋_GB2312" w:hAnsi="仿宋_GB2312" w:eastAsia="仿宋_GB2312"/>
          <w:sz w:val="30"/>
        </w:rPr>
        <w:t>应答：</w:t>
      </w:r>
    </w:p>
    <w:p>
      <w:pPr>
        <w:adjustRightInd w:val="0"/>
        <w:snapToGrid w:val="0"/>
        <w:spacing w:line="360" w:lineRule="auto"/>
        <w:rPr>
          <w:rFonts w:ascii="仿宋_GB2312" w:hAnsi="仿宋_GB2312" w:eastAsia="仿宋_GB2312"/>
          <w:sz w:val="30"/>
        </w:rPr>
      </w:pPr>
      <w:r>
        <w:rPr>
          <w:rFonts w:hint="eastAsia" w:ascii="仿宋_GB2312" w:hAnsi="仿宋_GB2312" w:eastAsia="仿宋_GB2312"/>
          <w:sz w:val="30"/>
        </w:rPr>
        <w:t>7.3 乙方应对可能接触到甲方秘密资料的乙方员工的行为负全部责任。乙方员工有意或无意泄露甲方秘密，无论乙方是否有过错，乙方应首先承担全部赔偿责任并负责消除泄密造成的不良影响。若乙方员工离职，乙方应要求其继续履行保密义务，确保软件项目所有资料的保密，不得作为他用，不得转借。</w:t>
      </w:r>
    </w:p>
    <w:p>
      <w:pPr>
        <w:tabs>
          <w:tab w:val="left" w:pos="0"/>
        </w:tabs>
        <w:outlineLvl w:val="1"/>
        <w:rPr>
          <w:rFonts w:ascii="仿宋_GB2312" w:hAnsi="仿宋_GB2312" w:eastAsia="仿宋_GB2312"/>
          <w:sz w:val="30"/>
        </w:rPr>
      </w:pPr>
      <w:r>
        <w:rPr>
          <w:rFonts w:hint="eastAsia" w:ascii="仿宋_GB2312" w:hAnsi="仿宋_GB2312" w:eastAsia="仿宋_GB2312"/>
          <w:sz w:val="30"/>
        </w:rPr>
        <w:t>应答:</w:t>
      </w:r>
    </w:p>
    <w:p>
      <w:pPr>
        <w:pStyle w:val="2"/>
        <w:rPr>
          <w:rFonts w:hint="eastAsia"/>
        </w:rPr>
      </w:pPr>
    </w:p>
    <w:p>
      <w:bookmarkStart w:id="8" w:name="_GoBack"/>
      <w:bookmarkEnd w:id="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EFACAD"/>
    <w:multiLevelType w:val="multilevel"/>
    <w:tmpl w:val="FCEFACAD"/>
    <w:lvl w:ilvl="0" w:tentative="0">
      <w:start w:val="1"/>
      <w:numFmt w:val="chineseCountingThousand"/>
      <w:pStyle w:val="4"/>
      <w:suff w:val="nothing"/>
      <w:lvlText w:val="第%1部分"/>
      <w:lvlJc w:val="center"/>
      <w:pPr>
        <w:ind w:left="-288" w:firstLine="288"/>
      </w:pPr>
      <w:rPr>
        <w:rFonts w:hint="eastAsia"/>
        <w:sz w:val="28"/>
        <w:szCs w:val="28"/>
      </w:rPr>
    </w:lvl>
    <w:lvl w:ilvl="1" w:tentative="0">
      <w:start w:val="1"/>
      <w:numFmt w:val="chineseCountingThousand"/>
      <w:suff w:val="nothing"/>
      <w:lvlText w:val="%2、"/>
      <w:lvlJc w:val="left"/>
      <w:pPr>
        <w:ind w:left="254" w:firstLine="0"/>
      </w:pPr>
      <w:rPr>
        <w:rFonts w:hint="eastAsia" w:ascii="宋体" w:hAnsi="宋体" w:eastAsia="宋体"/>
        <w:sz w:val="21"/>
        <w:szCs w:val="24"/>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wYTY3YTg4NGE5N2NlZjNlYTA3YmU4YTUxMDRjNDgifQ=="/>
  </w:docVars>
  <w:rsids>
    <w:rsidRoot w:val="08E213CC"/>
    <w:rsid w:val="08E213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等线" w:hAnsi="等线" w:eastAsia="等线" w:cs="Arial"/>
      <w:kern w:val="2"/>
      <w:sz w:val="21"/>
      <w:szCs w:val="22"/>
      <w:lang w:val="en-US" w:eastAsia="zh-CN" w:bidi="ar-SA"/>
    </w:rPr>
  </w:style>
  <w:style w:type="paragraph" w:styleId="4">
    <w:name w:val="heading 1"/>
    <w:basedOn w:val="1"/>
    <w:next w:val="1"/>
    <w:uiPriority w:val="0"/>
    <w:pPr>
      <w:keepNext/>
      <w:keepLines/>
      <w:widowControl w:val="0"/>
      <w:numPr>
        <w:ilvl w:val="0"/>
        <w:numId w:val="1"/>
      </w:numPr>
      <w:adjustRightInd w:val="0"/>
      <w:spacing w:before="340" w:after="330" w:line="578" w:lineRule="atLeast"/>
      <w:ind w:left="0"/>
      <w:jc w:val="left"/>
      <w:textAlignment w:val="baseline"/>
      <w:outlineLvl w:val="0"/>
    </w:pPr>
    <w:rPr>
      <w:rFonts w:ascii="Calibri" w:hAnsi="Calibri" w:eastAsia="宋体" w:cs="Times New Roman"/>
      <w:b/>
      <w:bCs/>
      <w:kern w:val="44"/>
      <w:sz w:val="44"/>
      <w:szCs w:val="44"/>
    </w:rPr>
  </w:style>
  <w:style w:type="paragraph" w:styleId="5">
    <w:name w:val="heading 2"/>
    <w:basedOn w:val="1"/>
    <w:next w:val="1"/>
    <w:uiPriority w:val="0"/>
    <w:pPr>
      <w:keepNext/>
      <w:keepLines/>
      <w:widowControl w:val="0"/>
      <w:spacing w:before="240" w:after="120" w:line="413" w:lineRule="auto"/>
      <w:outlineLvl w:val="1"/>
    </w:pPr>
    <w:rPr>
      <w:rFonts w:ascii="Arial" w:hAnsi="Arial" w:eastAsia="黑体" w:cs="Times New Roman"/>
      <w:b/>
      <w:bCs/>
      <w:sz w:val="24"/>
      <w:szCs w:val="32"/>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w:basedOn w:val="3"/>
    <w:uiPriority w:val="0"/>
    <w:pPr>
      <w:spacing w:after="200"/>
      <w:ind w:firstLine="100" w:firstLineChars="100"/>
    </w:pPr>
    <w:rPr>
      <w:rFonts w:eastAsia="宋体"/>
      <w:szCs w:val="24"/>
    </w:rPr>
  </w:style>
  <w:style w:type="paragraph" w:styleId="3">
    <w:name w:val="Body Text"/>
    <w:basedOn w:val="1"/>
    <w:uiPriority w:val="0"/>
    <w:pPr>
      <w:spacing w:after="120"/>
    </w:pPr>
  </w:style>
  <w:style w:type="paragraph" w:styleId="6">
    <w:name w:val="Body Text Indent"/>
    <w:basedOn w:val="1"/>
    <w:uiPriority w:val="0"/>
    <w:pPr>
      <w:spacing w:after="120"/>
      <w:ind w:left="200" w:leftChars="200"/>
    </w:pPr>
  </w:style>
  <w:style w:type="paragraph" w:styleId="7">
    <w:name w:val="Body Text First Indent 2"/>
    <w:basedOn w:val="6"/>
    <w:uiPriority w:val="0"/>
    <w:pPr>
      <w:ind w:firstLine="20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2024-03-25T02:45:00Z</dcterms:created>
  <dc:creator>周会</dc:creator>
  <cp:lastModifiedBy>周会</cp:lastModifiedBy>
  <dcterms:modified xsi:type="dcterms:W3CDTF">2024-03-25T02:47:19Z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61F447C88211444DA18E0C9A9A29BF6D_11</vt:lpwstr>
  </property>
</Properties>
</file>