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jc w:val="left"/>
        <w:rPr>
          <w:rFonts w:ascii="仿宋" w:eastAsia="仿宋" w:cs="仿宋" w:hAnsi="仿宋"/>
          <w:b/>
          <w:bCs/>
          <w:sz w:val="30"/>
          <w:szCs w:val="30"/>
        </w:rPr>
      </w:pPr>
      <w:bookmarkStart w:id="0" w:name="_Hlk145337046"/>
      <w:r>
        <w:rPr>
          <w:rFonts w:ascii="仿宋" w:eastAsia="仿宋" w:cs="仿宋" w:hAnsi="仿宋" w:hint="eastAsia"/>
          <w:b/>
          <w:bCs/>
          <w:sz w:val="30"/>
          <w:szCs w:val="30"/>
        </w:rPr>
        <w:t xml:space="preserve">附件3. </w:t>
      </w:r>
      <w:r>
        <w:rPr>
          <w:rFonts w:ascii="仿宋" w:eastAsia="仿宋" w:cs="仿宋" w:hAnsi="仿宋"/>
          <w:b/>
          <w:bCs/>
          <w:sz w:val="30"/>
          <w:szCs w:val="30"/>
        </w:rPr>
        <w:t>采购产品技术规范书</w:t>
      </w:r>
    </w:p>
    <w:p>
      <w:pPr>
        <w:keepNext/>
        <w:keepLines/>
        <w:widowControl w:val="0"/>
        <w:spacing w:before="240" w:after="120" w:line="413" w:lineRule="auto"/>
        <w:outlineLvl w:val="1"/>
        <w:rPr>
          <w:rFonts w:ascii="Arial" w:eastAsia="黑体" w:cs="Times New Roman" w:hAnsi="Arial"/>
          <w:bCs/>
          <w:sz w:val="24"/>
          <w:szCs w:val="32"/>
        </w:rPr>
      </w:pPr>
      <w:bookmarkStart w:id="1" w:name="_Toc508979334"/>
      <w:r>
        <w:rPr>
          <w:rFonts w:ascii="Arial" w:eastAsia="黑体" w:cs="Times New Roman" w:hAnsi="Arial" w:hint="eastAsia"/>
          <w:bCs/>
          <w:sz w:val="24"/>
          <w:szCs w:val="32"/>
        </w:rPr>
        <w:t>一、概述</w:t>
      </w:r>
      <w:bookmarkEnd w:id="1"/>
    </w:p>
    <w:p>
      <w:pPr>
        <w:spacing w:line="360" w:lineRule="auto"/>
        <w:ind w:firstLineChars="200" w:firstLine="420"/>
        <w:rPr>
          <w:rFonts w:ascii="宋体" w:cs="仿宋_GB2312" w:hAnsi="宋体"/>
          <w:szCs w:val="21"/>
        </w:rPr>
      </w:pPr>
      <w:r>
        <w:rPr>
          <w:rFonts w:ascii="宋体" w:cs="仿宋_GB2312" w:hAnsi="宋体" w:hint="eastAsia"/>
          <w:szCs w:val="21"/>
        </w:rPr>
        <w:t>随着数据综合应用工作深入开展，海量数据处理和建模计算的需求日益增加。普通办公电脑的算力已无法满足YoloV5、ResNet等深度学习算法的要求，为提升数据赋能工作效能，</w:t>
      </w:r>
      <w:r>
        <w:rPr>
          <w:rFonts w:ascii="宋体" w:cs="仿宋_GB2312" w:hAnsi="宋体"/>
          <w:szCs w:val="21"/>
        </w:rPr>
        <w:t>拟新增</w:t>
      </w:r>
      <w:r>
        <w:rPr>
          <w:rFonts w:ascii="宋体" w:cs="仿宋_GB2312" w:hAnsi="宋体" w:hint="eastAsia"/>
          <w:szCs w:val="21"/>
        </w:rPr>
        <w:t>5台高性能</w:t>
      </w:r>
      <w:r>
        <w:rPr>
          <w:rFonts w:ascii="宋体" w:cs="仿宋_GB2312" w:hAnsi="宋体"/>
          <w:szCs w:val="21"/>
        </w:rPr>
        <w:t>办公</w:t>
      </w:r>
      <w:r>
        <w:rPr>
          <w:rFonts w:ascii="宋体" w:cs="仿宋_GB2312" w:hAnsi="宋体" w:hint="eastAsia"/>
          <w:szCs w:val="21"/>
        </w:rPr>
        <w:t>电脑</w:t>
      </w:r>
      <w:r>
        <w:rPr>
          <w:rFonts w:ascii="宋体" w:cs="仿宋_GB2312" w:hAnsi="宋体"/>
          <w:szCs w:val="21"/>
        </w:rPr>
        <w:t>，以满足数据赋能负责并行计算需求。</w:t>
      </w:r>
    </w:p>
    <w:p>
      <w:pPr>
        <w:keepNext/>
        <w:keepLines/>
        <w:widowControl w:val="0"/>
        <w:spacing w:before="240" w:after="120" w:line="413" w:lineRule="auto"/>
        <w:outlineLvl w:val="1"/>
        <w:rPr>
          <w:rFonts w:ascii="Arial" w:eastAsia="黑体" w:cs="Times New Roman" w:hAnsi="Arial"/>
          <w:bCs/>
          <w:sz w:val="24"/>
          <w:szCs w:val="32"/>
        </w:rPr>
      </w:pPr>
      <w:bookmarkStart w:id="2" w:name="_Toc281836847"/>
      <w:bookmarkStart w:id="3" w:name="_Toc281836865"/>
      <w:bookmarkStart w:id="4" w:name="_Toc508979335"/>
      <w:r>
        <w:rPr>
          <w:rFonts w:ascii="Arial" w:eastAsia="黑体" w:cs="Times New Roman" w:hAnsi="Arial" w:hint="eastAsia"/>
          <w:bCs/>
          <w:sz w:val="24"/>
          <w:szCs w:val="32"/>
        </w:rPr>
        <w:t>二、质量及安全保证</w:t>
      </w:r>
      <w:bookmarkEnd w:id="2"/>
      <w:bookmarkEnd w:id="3"/>
      <w:bookmarkEnd w:id="4"/>
    </w:p>
    <w:p>
      <w:pPr>
        <w:numPr>
          <w:ilvl w:val="1"/>
          <w:numId w:val="1"/>
        </w:numPr>
        <w:tabs>
          <w:tab w:val="left" w:pos="851"/>
        </w:tabs>
        <w:spacing w:line="360" w:lineRule="auto"/>
        <w:ind w:left="567" w:firstLineChars="200" w:firstLine="420"/>
        <w:rPr>
          <w:rFonts w:ascii="宋体" w:hAnsi="宋体"/>
          <w:szCs w:val="21"/>
        </w:rPr>
      </w:pPr>
      <w:bookmarkStart w:id="5" w:name="_Toc281749165"/>
      <w:bookmarkStart w:id="6" w:name="_Toc281836866"/>
      <w:bookmarkEnd w:id="5"/>
      <w:r>
        <w:rPr>
          <w:rFonts w:ascii="宋体" w:hAnsi="宋体" w:hint="eastAsia"/>
          <w:szCs w:val="21"/>
        </w:rPr>
        <w:t>订购的新产品除应满足本协议书外，投标方还应提供产品的授权委托书。</w:t>
      </w:r>
      <w:bookmarkEnd w:id="6"/>
    </w:p>
    <w:p>
      <w:pPr>
        <w:numPr>
          <w:ilvl w:val="1"/>
          <w:numId w:val="1"/>
        </w:numPr>
        <w:tabs>
          <w:tab w:val="left" w:pos="851"/>
        </w:tabs>
        <w:spacing w:line="360" w:lineRule="auto"/>
        <w:ind w:left="567" w:firstLineChars="200" w:firstLine="420"/>
        <w:rPr>
          <w:rFonts w:ascii="宋体" w:hAnsi="宋体"/>
          <w:szCs w:val="21"/>
        </w:rPr>
      </w:pPr>
      <w:bookmarkStart w:id="7" w:name="_Toc281836867"/>
      <w:r>
        <w:rPr>
          <w:rFonts w:ascii="宋体" w:hAnsi="宋体" w:hint="eastAsia"/>
          <w:szCs w:val="21"/>
        </w:rPr>
        <w:t>投标方应保证制造过程中的所有工艺、材料等（包括投标方的外构件在内）均应符合协议书的规定。若招标方根据运行经验指定投标方提供某种外购零部件，投标方应积极配合。</w:t>
      </w:r>
      <w:bookmarkEnd w:id="7"/>
    </w:p>
    <w:p>
      <w:pPr>
        <w:numPr>
          <w:ilvl w:val="1"/>
          <w:numId w:val="1"/>
        </w:numPr>
        <w:tabs>
          <w:tab w:val="left" w:pos="851"/>
        </w:tabs>
        <w:spacing w:line="360" w:lineRule="auto"/>
        <w:ind w:left="567" w:firstLineChars="200" w:firstLine="420"/>
        <w:rPr>
          <w:rFonts w:ascii="宋体" w:hAnsi="宋体"/>
          <w:szCs w:val="21"/>
        </w:rPr>
      </w:pPr>
      <w:bookmarkStart w:id="8" w:name="_Toc281836868"/>
      <w:r>
        <w:rPr>
          <w:rFonts w:ascii="宋体" w:hAnsi="宋体" w:hint="eastAsia"/>
          <w:szCs w:val="21"/>
        </w:rPr>
        <w:t>投标方应遵守本协议书中各条款和工作项目的GB/T19001-2016/ISO9001:2015质量保证体系，该质量保证体系经过国家认证和正常运转。</w:t>
      </w:r>
      <w:bookmarkEnd w:id="8"/>
    </w:p>
    <w:p>
      <w:pPr>
        <w:numPr>
          <w:ilvl w:val="1"/>
          <w:numId w:val="1"/>
        </w:numPr>
        <w:tabs>
          <w:tab w:val="left" w:pos="851"/>
        </w:tabs>
        <w:spacing w:line="360" w:lineRule="auto"/>
        <w:ind w:left="567" w:firstLineChars="200" w:firstLine="420"/>
        <w:rPr>
          <w:rFonts w:ascii="宋体" w:hAnsi="宋体"/>
          <w:szCs w:val="21"/>
        </w:rPr>
      </w:pPr>
      <w:r>
        <w:rPr>
          <w:rFonts w:ascii="宋体" w:hAnsi="宋体" w:hint="eastAsia"/>
          <w:szCs w:val="21"/>
        </w:rPr>
        <w:t>投标方提供的任何固件和软件不得存在漏洞和后门。</w:t>
      </w:r>
    </w:p>
    <w:p>
      <w:pPr>
        <w:numPr>
          <w:ilvl w:val="1"/>
          <w:numId w:val="1"/>
        </w:numPr>
        <w:tabs>
          <w:tab w:val="left" w:pos="851"/>
        </w:tabs>
        <w:spacing w:line="360" w:lineRule="auto"/>
        <w:ind w:left="567" w:firstLineChars="200" w:firstLine="420"/>
        <w:rPr>
          <w:rFonts w:ascii="宋体" w:hAnsi="宋体"/>
          <w:szCs w:val="21"/>
        </w:rPr>
      </w:pPr>
      <w:r>
        <w:rPr>
          <w:rFonts w:ascii="宋体" w:hAnsi="宋体" w:hint="eastAsia"/>
          <w:szCs w:val="21"/>
        </w:rPr>
        <w:t>投标方所提供固件和软件的原制造商应提供补丁支持。</w:t>
      </w:r>
    </w:p>
    <w:p>
      <w:pPr>
        <w:numPr>
          <w:ilvl w:val="1"/>
          <w:numId w:val="1"/>
        </w:numPr>
        <w:tabs>
          <w:tab w:val="left" w:pos="851"/>
        </w:tabs>
        <w:spacing w:line="360" w:lineRule="auto"/>
        <w:ind w:left="567" w:firstLineChars="200" w:firstLine="420"/>
        <w:rPr>
          <w:rFonts w:ascii="宋体" w:hAnsi="宋体"/>
          <w:szCs w:val="21"/>
        </w:rPr>
      </w:pPr>
      <w:r>
        <w:rPr>
          <w:rFonts w:ascii="宋体" w:hAnsi="宋体" w:hint="eastAsia"/>
          <w:szCs w:val="21"/>
        </w:rPr>
        <w:t>投标方或投标方所提供固件和软件的原制造商发现缺陷，应在发布补丁程序后一周内向招标方提供补丁程序。</w:t>
      </w:r>
    </w:p>
    <w:p>
      <w:pPr>
        <w:numPr>
          <w:ilvl w:val="1"/>
          <w:numId w:val="1"/>
        </w:numPr>
        <w:tabs>
          <w:tab w:val="left" w:pos="851"/>
        </w:tabs>
        <w:spacing w:line="360" w:lineRule="auto"/>
        <w:ind w:left="567" w:firstLineChars="200" w:firstLine="420"/>
        <w:rPr>
          <w:rFonts w:ascii="宋体" w:hAnsi="宋体"/>
          <w:szCs w:val="21"/>
        </w:rPr>
      </w:pPr>
      <w:r>
        <w:rPr>
          <w:rFonts w:ascii="宋体" w:hAnsi="宋体" w:hint="eastAsia"/>
          <w:szCs w:val="21"/>
        </w:rPr>
        <w:t>招标方发现投标方所提供固件和软件存在缺陷，原制造商应在接到招标方通知之日起1个月内提供相应的补丁程序。</w:t>
      </w:r>
    </w:p>
    <w:p>
      <w:pPr>
        <w:keepNext/>
        <w:keepLines/>
        <w:widowControl w:val="0"/>
        <w:spacing w:before="240" w:after="120" w:line="413" w:lineRule="auto"/>
        <w:outlineLvl w:val="1"/>
        <w:rPr>
          <w:rFonts w:ascii="Arial" w:eastAsia="黑体" w:cs="Times New Roman" w:hAnsi="Arial"/>
          <w:bCs/>
          <w:sz w:val="24"/>
          <w:szCs w:val="32"/>
        </w:rPr>
      </w:pPr>
      <w:bookmarkStart w:id="9" w:name="_Toc508979336"/>
      <w:r>
        <w:rPr>
          <w:rFonts w:ascii="Arial" w:eastAsia="黑体" w:cs="Times New Roman" w:hAnsi="Arial" w:hint="eastAsia"/>
          <w:bCs/>
          <w:sz w:val="24"/>
          <w:szCs w:val="32"/>
        </w:rPr>
        <w:t>三、供货与进度</w:t>
      </w:r>
      <w:bookmarkEnd w:id="9"/>
    </w:p>
    <w:p>
      <w:pPr>
        <w:spacing w:line="360" w:lineRule="auto"/>
        <w:ind w:firstLineChars="200" w:firstLine="420"/>
      </w:pPr>
      <w:r>
        <w:rPr>
          <w:rFonts w:hint="eastAsia"/>
        </w:rPr>
        <w:t>投标方</w:t>
      </w:r>
      <w:r>
        <w:t>必须响应并承诺下列交货时间和到货目的地的要求。</w:t>
      </w:r>
    </w:p>
    <w:p>
      <w:pPr>
        <w:numPr>
          <w:ilvl w:val="0"/>
          <w:numId w:val="2"/>
        </w:numPr>
        <w:spacing w:line="360" w:lineRule="auto"/>
        <w:ind w:left="842" w:firstLineChars="200" w:firstLine="420"/>
        <w:rPr>
          <w:bCs/>
        </w:rPr>
      </w:pPr>
      <w:bookmarkStart w:id="10" w:name="_Toc144120382"/>
      <w:bookmarkStart w:id="11" w:name="_Toc44215941"/>
      <w:bookmarkStart w:id="12" w:name="_Toc144126299"/>
      <w:bookmarkStart w:id="13" w:name="_Toc144120610"/>
      <w:bookmarkStart w:id="14" w:name="_Toc44215780"/>
      <w:bookmarkStart w:id="15" w:name="_Toc263581805"/>
      <w:bookmarkStart w:id="16" w:name="_Toc526272386"/>
      <w:bookmarkStart w:id="17" w:name="_Toc526272794"/>
      <w:bookmarkStart w:id="18" w:name="_Toc221954755"/>
      <w:r>
        <w:rPr>
          <w:rFonts w:hint="eastAsia"/>
          <w:bCs/>
        </w:rPr>
        <w:t>供货范围</w:t>
      </w:r>
    </w:p>
    <w:p>
      <w:pPr>
        <w:spacing w:line="360" w:lineRule="auto"/>
        <w:ind w:firstLine="425"/>
      </w:pPr>
      <w:r>
        <w:rPr>
          <w:rFonts w:hint="eastAsia"/>
        </w:rPr>
        <w:t>投标方必须按照招标文件要求，提供产品、材料、服务等相应的报价，报价内容包括：</w:t>
      </w:r>
    </w:p>
    <w:p>
      <w:pPr>
        <w:numPr>
          <w:ilvl w:val="0"/>
          <w:numId w:val="3"/>
        </w:numPr>
        <w:spacing w:line="360" w:lineRule="auto"/>
        <w:jc w:val="left"/>
      </w:pPr>
      <w:r>
        <w:rPr>
          <w:rFonts w:hint="eastAsia"/>
        </w:rPr>
        <w:t>产品及各项配件（包含了产品的运输费、保险费、税费等相关费用）</w:t>
      </w:r>
    </w:p>
    <w:tbl>
      <w:tblPr>
        <w:jc w:val="left"/>
        <w:tblInd w:w="14" w:type="dxa"/>
        <w:tblW w:w="9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3"/>
        <w:gridCol w:w="1623"/>
        <w:gridCol w:w="1575"/>
        <w:gridCol w:w="1260"/>
        <w:gridCol w:w="915"/>
        <w:gridCol w:w="1747"/>
        <w:gridCol w:w="1554"/>
      </w:tblGrid>
      <w:tr>
        <w:tc>
          <w:tcPr>
            <w:tcW w:w="643" w:type="dxa"/>
          </w:tcPr>
          <w:p>
            <w:pPr>
              <w:spacing w:line="360" w:lineRule="auto"/>
              <w:jc w:val="center"/>
              <w:rPr>
                <w:b/>
                <w:bCs/>
              </w:rPr>
            </w:pPr>
            <w:r>
              <w:rPr>
                <w:rFonts w:hint="eastAsia"/>
                <w:b/>
                <w:bCs/>
              </w:rPr>
              <w:t>序号</w:t>
            </w:r>
          </w:p>
        </w:tc>
        <w:tc>
          <w:tcPr>
            <w:tcW w:w="1623" w:type="dxa"/>
          </w:tcPr>
          <w:p>
            <w:pPr>
              <w:spacing w:line="360" w:lineRule="auto"/>
              <w:jc w:val="center"/>
              <w:rPr>
                <w:b/>
                <w:bCs/>
              </w:rPr>
            </w:pPr>
            <w:r>
              <w:rPr>
                <w:rFonts w:hint="eastAsia"/>
                <w:b/>
                <w:bCs/>
              </w:rPr>
              <w:t>名称</w:t>
            </w:r>
          </w:p>
        </w:tc>
        <w:tc>
          <w:tcPr>
            <w:tcW w:w="1575" w:type="dxa"/>
          </w:tcPr>
          <w:p>
            <w:pPr>
              <w:spacing w:line="360" w:lineRule="auto"/>
              <w:jc w:val="center"/>
              <w:rPr>
                <w:b/>
                <w:bCs/>
              </w:rPr>
            </w:pPr>
            <w:r>
              <w:rPr>
                <w:rFonts w:hint="eastAsia"/>
                <w:b/>
                <w:bCs/>
              </w:rPr>
              <w:t>说明</w:t>
            </w:r>
          </w:p>
        </w:tc>
        <w:tc>
          <w:tcPr>
            <w:tcW w:w="1260" w:type="dxa"/>
          </w:tcPr>
          <w:p>
            <w:pPr>
              <w:spacing w:line="360" w:lineRule="auto"/>
              <w:jc w:val="center"/>
              <w:rPr>
                <w:b/>
                <w:bCs/>
              </w:rPr>
            </w:pPr>
            <w:r>
              <w:rPr>
                <w:rFonts w:hint="eastAsia"/>
                <w:b/>
                <w:bCs/>
              </w:rPr>
              <w:t>单位</w:t>
            </w:r>
          </w:p>
        </w:tc>
        <w:tc>
          <w:tcPr>
            <w:tcW w:w="915" w:type="dxa"/>
          </w:tcPr>
          <w:p>
            <w:pPr>
              <w:spacing w:line="360" w:lineRule="auto"/>
              <w:jc w:val="center"/>
              <w:rPr>
                <w:b/>
                <w:bCs/>
              </w:rPr>
            </w:pPr>
            <w:r>
              <w:rPr>
                <w:rFonts w:hint="eastAsia"/>
                <w:b/>
                <w:bCs/>
              </w:rPr>
              <w:t>数量</w:t>
            </w:r>
          </w:p>
        </w:tc>
        <w:tc>
          <w:tcPr>
            <w:tcW w:w="1747" w:type="dxa"/>
          </w:tcPr>
          <w:p>
            <w:pPr>
              <w:spacing w:line="360" w:lineRule="auto"/>
              <w:jc w:val="center"/>
              <w:rPr>
                <w:b/>
                <w:bCs/>
              </w:rPr>
            </w:pPr>
            <w:r>
              <w:rPr>
                <w:rFonts w:hint="eastAsia"/>
                <w:b/>
                <w:bCs/>
              </w:rPr>
              <w:t>总价（万元）</w:t>
            </w:r>
          </w:p>
        </w:tc>
        <w:tc>
          <w:tcPr>
            <w:tcW w:w="1554" w:type="dxa"/>
          </w:tcPr>
          <w:p>
            <w:pPr>
              <w:spacing w:line="360" w:lineRule="auto"/>
              <w:jc w:val="center"/>
              <w:rPr>
                <w:b/>
                <w:bCs/>
              </w:rPr>
            </w:pPr>
            <w:r>
              <w:rPr>
                <w:rFonts w:hint="eastAsia"/>
                <w:b/>
                <w:bCs/>
              </w:rPr>
              <w:t>参考品牌</w:t>
            </w:r>
          </w:p>
        </w:tc>
      </w:tr>
      <w:tr>
        <w:tc>
          <w:tcPr>
            <w:tcW w:w="643" w:type="dxa"/>
          </w:tcPr>
          <w:p>
            <w:pPr>
              <w:spacing w:line="360" w:lineRule="auto"/>
              <w:jc w:val="center"/>
            </w:pPr>
            <w:r>
              <w:rPr>
                <w:rFonts w:hint="eastAsia"/>
              </w:rPr>
              <w:t>1</w:t>
            </w:r>
          </w:p>
        </w:tc>
        <w:tc>
          <w:tcPr>
            <w:tcW w:w="1623" w:type="dxa"/>
            <w:tcBorders>
              <w:top w:val="single" w:sz="4" w:space="0" w:color="auto"/>
              <w:left w:val="single" w:sz="4" w:space="0" w:color="auto"/>
              <w:right w:val="single" w:sz="4" w:space="0" w:color="auto"/>
            </w:tcBorders>
          </w:tcPr>
          <w:p>
            <w:pPr>
              <w:spacing w:line="360" w:lineRule="auto"/>
              <w:jc w:val="center"/>
            </w:pPr>
            <w:r>
              <w:t>笔记本电脑</w:t>
            </w:r>
          </w:p>
        </w:tc>
        <w:tc>
          <w:tcPr>
            <w:tcW w:w="1575" w:type="dxa"/>
            <w:tcBorders>
              <w:top w:val="single" w:sz="4" w:space="0" w:color="auto"/>
              <w:left w:val="single" w:sz="4" w:space="0" w:color="auto"/>
              <w:right w:val="single" w:sz="4" w:space="0" w:color="auto"/>
            </w:tcBorders>
          </w:tcPr>
          <w:p>
            <w:pPr>
              <w:spacing w:line="360" w:lineRule="auto"/>
              <w:jc w:val="center"/>
            </w:pPr>
          </w:p>
        </w:tc>
        <w:tc>
          <w:tcPr>
            <w:tcW w:w="1260" w:type="dxa"/>
            <w:tcBorders>
              <w:top w:val="single" w:sz="4" w:space="0" w:color="auto"/>
              <w:left w:val="single" w:sz="4" w:space="0" w:color="auto"/>
              <w:right w:val="single" w:sz="4" w:space="0" w:color="auto"/>
            </w:tcBorders>
          </w:tcPr>
          <w:p>
            <w:pPr>
              <w:spacing w:line="360" w:lineRule="auto"/>
              <w:jc w:val="center"/>
            </w:pPr>
            <w:r>
              <w:rPr>
                <w:rFonts w:hint="eastAsia"/>
              </w:rPr>
              <w:t>台</w:t>
            </w:r>
          </w:p>
        </w:tc>
        <w:tc>
          <w:tcPr>
            <w:tcW w:w="915" w:type="dxa"/>
            <w:tcBorders>
              <w:top w:val="single" w:sz="4" w:space="0" w:color="auto"/>
              <w:left w:val="single" w:sz="4" w:space="0" w:color="auto"/>
              <w:right w:val="single" w:sz="4" w:space="0" w:color="auto"/>
            </w:tcBorders>
          </w:tcPr>
          <w:p>
            <w:pPr>
              <w:spacing w:line="360" w:lineRule="auto"/>
              <w:jc w:val="center"/>
            </w:pPr>
            <w:r>
              <w:t>2</w:t>
            </w:r>
          </w:p>
        </w:tc>
        <w:tc>
          <w:tcPr>
            <w:tcW w:w="1747" w:type="dxa"/>
            <w:tcBorders>
              <w:top w:val="single" w:sz="4" w:space="0" w:color="auto"/>
              <w:left w:val="single" w:sz="4" w:space="0" w:color="auto"/>
              <w:right w:val="single" w:sz="4" w:space="0" w:color="auto"/>
            </w:tcBorders>
          </w:tcPr>
          <w:p>
            <w:pPr>
              <w:spacing w:line="360" w:lineRule="auto"/>
              <w:jc w:val="center"/>
            </w:pPr>
          </w:p>
        </w:tc>
        <w:tc>
          <w:tcPr>
            <w:tcW w:w="1554" w:type="dxa"/>
          </w:tcPr>
          <w:p>
            <w:pPr>
              <w:spacing w:line="360" w:lineRule="auto"/>
              <w:jc w:val="center"/>
            </w:pPr>
            <w:r>
              <w:rPr>
                <w:rFonts w:hint="eastAsia"/>
              </w:rPr>
              <w:t>无</w:t>
            </w:r>
          </w:p>
        </w:tc>
      </w:tr>
      <w:tr>
        <w:tc>
          <w:tcPr>
            <w:tcW w:w="643" w:type="dxa"/>
          </w:tcPr>
          <w:p>
            <w:pPr>
              <w:spacing w:line="360" w:lineRule="auto"/>
              <w:jc w:val="center"/>
            </w:pPr>
            <w:r>
              <w:t>2</w:t>
            </w:r>
          </w:p>
        </w:tc>
        <w:tc>
          <w:tcPr>
            <w:tcW w:w="1623" w:type="dxa"/>
            <w:tcBorders>
              <w:top w:val="single" w:sz="4" w:space="0" w:color="auto"/>
              <w:left w:val="single" w:sz="4" w:space="0" w:color="auto"/>
              <w:right w:val="single" w:sz="4" w:space="0" w:color="auto"/>
            </w:tcBorders>
          </w:tcPr>
          <w:p>
            <w:pPr>
              <w:spacing w:line="360" w:lineRule="auto"/>
              <w:jc w:val="center"/>
            </w:pPr>
            <w:r>
              <w:t>台式PC机</w:t>
            </w:r>
          </w:p>
        </w:tc>
        <w:tc>
          <w:tcPr>
            <w:tcW w:w="1575" w:type="dxa"/>
            <w:tcBorders>
              <w:top w:val="single" w:sz="4" w:space="0" w:color="auto"/>
              <w:left w:val="single" w:sz="4" w:space="0" w:color="auto"/>
              <w:right w:val="single" w:sz="4" w:space="0" w:color="auto"/>
            </w:tcBorders>
          </w:tcPr>
          <w:p>
            <w:pPr>
              <w:spacing w:line="360" w:lineRule="auto"/>
              <w:jc w:val="center"/>
            </w:pPr>
          </w:p>
        </w:tc>
        <w:tc>
          <w:tcPr>
            <w:tcW w:w="1260" w:type="dxa"/>
            <w:tcBorders>
              <w:top w:val="single" w:sz="4" w:space="0" w:color="auto"/>
              <w:left w:val="single" w:sz="4" w:space="0" w:color="auto"/>
              <w:right w:val="single" w:sz="4" w:space="0" w:color="auto"/>
            </w:tcBorders>
          </w:tcPr>
          <w:p>
            <w:pPr>
              <w:spacing w:line="360" w:lineRule="auto"/>
              <w:jc w:val="center"/>
            </w:pPr>
            <w:r>
              <w:rPr>
                <w:rFonts w:hint="eastAsia"/>
              </w:rPr>
              <w:t>台</w:t>
            </w:r>
          </w:p>
        </w:tc>
        <w:tc>
          <w:tcPr>
            <w:tcW w:w="915" w:type="dxa"/>
            <w:tcBorders>
              <w:top w:val="single" w:sz="4" w:space="0" w:color="auto"/>
              <w:left w:val="single" w:sz="4" w:space="0" w:color="auto"/>
              <w:right w:val="single" w:sz="4" w:space="0" w:color="auto"/>
            </w:tcBorders>
          </w:tcPr>
          <w:p>
            <w:pPr>
              <w:spacing w:line="360" w:lineRule="auto"/>
              <w:jc w:val="center"/>
            </w:pPr>
            <w:r>
              <w:t>3</w:t>
            </w:r>
          </w:p>
        </w:tc>
        <w:tc>
          <w:tcPr>
            <w:tcW w:w="1747" w:type="dxa"/>
            <w:tcBorders>
              <w:top w:val="single" w:sz="4" w:space="0" w:color="auto"/>
              <w:left w:val="single" w:sz="4" w:space="0" w:color="auto"/>
              <w:right w:val="single" w:sz="4" w:space="0" w:color="auto"/>
            </w:tcBorders>
          </w:tcPr>
          <w:p>
            <w:pPr>
              <w:spacing w:line="360" w:lineRule="auto"/>
              <w:jc w:val="center"/>
            </w:pPr>
            <w:bookmarkStart w:id="19" w:name="_GoBack"/>
            <w:bookmarkEnd w:id="19"/>
          </w:p>
        </w:tc>
        <w:tc>
          <w:tcPr>
            <w:tcW w:w="1554" w:type="dxa"/>
          </w:tcPr>
          <w:p>
            <w:pPr>
              <w:spacing w:line="360" w:lineRule="auto"/>
              <w:jc w:val="center"/>
            </w:pPr>
            <w:r>
              <w:rPr>
                <w:rFonts w:hint="eastAsia"/>
              </w:rPr>
              <w:t>无</w:t>
            </w:r>
          </w:p>
        </w:tc>
      </w:tr>
    </w:tbl>
    <w:p>
      <w:pPr>
        <w:numPr>
          <w:ilvl w:val="0"/>
          <w:numId w:val="2"/>
        </w:numPr>
        <w:spacing w:line="360" w:lineRule="auto"/>
        <w:ind w:left="842" w:firstLineChars="200" w:firstLine="420"/>
        <w:rPr>
          <w:bCs/>
        </w:rPr>
      </w:pPr>
      <w:r>
        <w:rPr>
          <w:bCs/>
        </w:rPr>
        <w:t>交货时间要求</w:t>
      </w:r>
      <w:bookmarkEnd w:id="10"/>
      <w:bookmarkEnd w:id="11"/>
      <w:bookmarkEnd w:id="12"/>
      <w:bookmarkEnd w:id="13"/>
      <w:bookmarkEnd w:id="14"/>
      <w:bookmarkEnd w:id="15"/>
      <w:bookmarkEnd w:id="16"/>
      <w:bookmarkEnd w:id="17"/>
      <w:bookmarkEnd w:id="18"/>
    </w:p>
    <w:p>
      <w:pPr>
        <w:spacing w:line="360" w:lineRule="auto"/>
        <w:ind w:firstLineChars="200" w:firstLine="420"/>
        <w:jc w:val="left"/>
      </w:pPr>
      <w:r>
        <w:t>本</w:t>
      </w:r>
      <w:r>
        <w:rPr>
          <w:rFonts w:hint="eastAsia"/>
        </w:rPr>
        <w:t>技术协议书</w:t>
      </w:r>
      <w:r>
        <w:t>所列所有设备、产品在合同</w:t>
      </w:r>
      <w:r>
        <w:rPr>
          <w:rFonts w:hint="eastAsia"/>
        </w:rPr>
        <w:t>生效</w:t>
      </w:r>
      <w:r>
        <w:t>后</w:t>
      </w:r>
      <w:r>
        <w:rPr>
          <w:rFonts w:hint="eastAsia"/>
        </w:rPr>
        <w:t>30</w:t>
      </w:r>
      <w:r>
        <w:t>天内全部交货。</w:t>
      </w:r>
    </w:p>
    <w:p>
      <w:pPr>
        <w:numPr>
          <w:ilvl w:val="0"/>
          <w:numId w:val="2"/>
        </w:numPr>
        <w:spacing w:line="360" w:lineRule="auto"/>
        <w:ind w:left="842" w:firstLineChars="200" w:firstLine="420"/>
        <w:rPr>
          <w:bCs/>
        </w:rPr>
      </w:pPr>
      <w:bookmarkStart w:id="20" w:name="_Toc526272387"/>
      <w:bookmarkStart w:id="21" w:name="_Toc526272795"/>
      <w:bookmarkStart w:id="22" w:name="_Toc221954756"/>
      <w:bookmarkStart w:id="23" w:name="_Toc144120611"/>
      <w:bookmarkStart w:id="24" w:name="_Toc263581806"/>
      <w:bookmarkStart w:id="25" w:name="_Toc44215942"/>
      <w:bookmarkStart w:id="26" w:name="_Toc44215781"/>
      <w:bookmarkStart w:id="27" w:name="_Toc144126300"/>
      <w:bookmarkStart w:id="28" w:name="_Toc144120383"/>
      <w:r>
        <w:rPr>
          <w:bCs/>
        </w:rPr>
        <w:t>到货目的地要求</w:t>
      </w:r>
      <w:bookmarkEnd w:id="20"/>
      <w:bookmarkEnd w:id="21"/>
      <w:bookmarkEnd w:id="22"/>
      <w:bookmarkEnd w:id="23"/>
      <w:bookmarkEnd w:id="24"/>
      <w:bookmarkEnd w:id="25"/>
      <w:bookmarkEnd w:id="26"/>
      <w:bookmarkEnd w:id="27"/>
      <w:bookmarkEnd w:id="28"/>
    </w:p>
    <w:p>
      <w:pPr>
        <w:spacing w:line="360" w:lineRule="auto"/>
        <w:ind w:firstLineChars="200" w:firstLine="420"/>
      </w:pPr>
      <w:r>
        <w:t>本次采购的设备/产品到货目的地直接为</w:t>
      </w:r>
      <w:r>
        <w:rPr>
          <w:rFonts w:hint="eastAsia"/>
        </w:rPr>
        <w:t>招标方</w:t>
      </w:r>
      <w:r>
        <w:t>指定地点。</w:t>
      </w:r>
    </w:p>
    <w:p>
      <w:pPr>
        <w:numPr>
          <w:ilvl w:val="0"/>
          <w:numId w:val="2"/>
        </w:numPr>
        <w:spacing w:line="360" w:lineRule="auto"/>
        <w:ind w:left="842" w:firstLineChars="200" w:firstLine="420"/>
        <w:rPr>
          <w:bCs/>
        </w:rPr>
      </w:pPr>
      <w:bookmarkStart w:id="29" w:name="_Toc221954757"/>
      <w:bookmarkStart w:id="30" w:name="_Toc263581807"/>
      <w:bookmarkStart w:id="31" w:name="_Toc144120612"/>
      <w:bookmarkStart w:id="32" w:name="_Toc526272796"/>
      <w:bookmarkStart w:id="33" w:name="_Toc526272388"/>
      <w:bookmarkStart w:id="34" w:name="_Toc144126301"/>
      <w:bookmarkStart w:id="35" w:name="_Toc144120384"/>
      <w:bookmarkStart w:id="36" w:name="_Toc44215943"/>
      <w:bookmarkStart w:id="37" w:name="_Toc44215782"/>
      <w:r>
        <w:rPr>
          <w:bCs/>
        </w:rPr>
        <w:t>进度安排</w:t>
      </w:r>
      <w:bookmarkEnd w:id="29"/>
      <w:bookmarkEnd w:id="30"/>
      <w:bookmarkEnd w:id="31"/>
      <w:bookmarkEnd w:id="32"/>
      <w:bookmarkEnd w:id="33"/>
      <w:bookmarkEnd w:id="34"/>
      <w:bookmarkEnd w:id="35"/>
      <w:bookmarkEnd w:id="36"/>
      <w:bookmarkEnd w:id="37"/>
    </w:p>
    <w:tbl>
      <w:tblPr>
        <w:jc w:val="center"/>
        <w:tblW w:w="82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937"/>
        <w:gridCol w:w="2492"/>
        <w:gridCol w:w="2804"/>
      </w:tblGrid>
      <w:tr>
        <w:trPr>
          <w:trHeight w:val="404"/>
        </w:trPr>
        <w:tc>
          <w:tcPr>
            <w:tcW w:w="2937" w:type="dxa"/>
            <w:vAlign w:val="center"/>
          </w:tcPr>
          <w:p>
            <w:pPr>
              <w:jc w:val="center"/>
            </w:pPr>
            <w:r>
              <w:rPr>
                <w:rFonts w:hint="eastAsia"/>
              </w:rPr>
              <w:t>内容</w:t>
            </w:r>
          </w:p>
        </w:tc>
        <w:tc>
          <w:tcPr>
            <w:tcW w:w="2492" w:type="dxa"/>
            <w:vAlign w:val="center"/>
          </w:tcPr>
          <w:p>
            <w:pPr>
              <w:jc w:val="center"/>
            </w:pPr>
            <w:r>
              <w:rPr>
                <w:rFonts w:hint="eastAsia"/>
              </w:rPr>
              <w:t>所用天数</w:t>
            </w:r>
          </w:p>
        </w:tc>
        <w:tc>
          <w:tcPr>
            <w:tcW w:w="2804" w:type="dxa"/>
            <w:vAlign w:val="center"/>
          </w:tcPr>
          <w:p>
            <w:pPr>
              <w:jc w:val="center"/>
            </w:pPr>
            <w:r>
              <w:rPr>
                <w:rFonts w:hint="eastAsia"/>
              </w:rPr>
              <w:t>备注</w:t>
            </w:r>
          </w:p>
        </w:tc>
      </w:tr>
      <w:tr>
        <w:trPr>
          <w:trHeight w:val="404"/>
        </w:trPr>
        <w:tc>
          <w:tcPr>
            <w:tcW w:w="2937" w:type="dxa"/>
            <w:vAlign w:val="center"/>
          </w:tcPr>
          <w:p>
            <w:r>
              <w:rPr>
                <w:rFonts w:hint="eastAsia"/>
              </w:rPr>
              <w:t>合同生效日</w:t>
            </w:r>
          </w:p>
        </w:tc>
        <w:tc>
          <w:tcPr>
            <w:tcW w:w="2492" w:type="dxa"/>
            <w:tcBorders>
              <w:top w:val="single" w:sz="4" w:space="0" w:color="auto"/>
              <w:left w:val="single" w:sz="4" w:space="0" w:color="auto"/>
              <w:right w:val="single" w:sz="4" w:space="0" w:color="auto"/>
            </w:tcBorders>
            <w:vAlign w:val="center"/>
          </w:tcPr>
          <w:p>
            <w:r>
              <w:rPr>
                <w:rFonts w:hint="eastAsia"/>
              </w:rPr>
              <w:t>开始</w:t>
            </w:r>
          </w:p>
        </w:tc>
        <w:tc>
          <w:tcPr>
            <w:tcW w:w="2804" w:type="dxa"/>
            <w:vAlign w:val="center"/>
          </w:tcPr>
          <w:p/>
        </w:tc>
      </w:tr>
      <w:tr>
        <w:trPr>
          <w:trHeight w:val="404"/>
        </w:trPr>
        <w:tc>
          <w:tcPr>
            <w:tcW w:w="2937" w:type="dxa"/>
            <w:vAlign w:val="center"/>
          </w:tcPr>
          <w:p>
            <w:r>
              <w:rPr>
                <w:rFonts w:hint="eastAsia"/>
              </w:rPr>
              <w:t>设备全部到货</w:t>
            </w:r>
          </w:p>
        </w:tc>
        <w:tc>
          <w:tcPr>
            <w:tcW w:w="2492" w:type="dxa"/>
            <w:tcBorders>
              <w:top w:val="single" w:sz="4" w:space="0" w:color="auto"/>
              <w:left w:val="single" w:sz="4" w:space="0" w:color="auto"/>
              <w:right w:val="single" w:sz="4" w:space="0" w:color="auto"/>
            </w:tcBorders>
            <w:shd w:val="clear" w:color="auto" w:fill="FFFFFF"/>
            <w:vAlign w:val="center"/>
          </w:tcPr>
          <w:p>
            <w:pPr>
              <w:rPr>
                <w:rFonts w:ascii="宋体" w:hAnsi="宋体"/>
              </w:rPr>
            </w:pPr>
            <w:r>
              <w:rPr>
                <w:rFonts w:ascii="宋体" w:hAnsi="宋体" w:hint="eastAsia"/>
              </w:rPr>
              <w:t>30天</w:t>
            </w:r>
          </w:p>
        </w:tc>
        <w:tc>
          <w:tcPr>
            <w:tcW w:w="2804" w:type="dxa"/>
            <w:vAlign w:val="center"/>
          </w:tcPr>
          <w:p>
            <w:r>
              <w:rPr>
                <w:rFonts w:hint="eastAsia"/>
              </w:rPr>
              <w:t>包括节假日（下同）</w:t>
            </w:r>
          </w:p>
        </w:tc>
      </w:tr>
      <w:tr>
        <w:trPr>
          <w:trHeight w:val="430"/>
        </w:trPr>
        <w:tc>
          <w:tcPr>
            <w:tcW w:w="2937" w:type="dxa"/>
            <w:vAlign w:val="center"/>
          </w:tcPr>
          <w:p>
            <w:r>
              <w:rPr>
                <w:rFonts w:hint="eastAsia"/>
              </w:rPr>
              <w:t>设备上架安装初步验收完成</w:t>
            </w:r>
          </w:p>
        </w:tc>
        <w:tc>
          <w:tcPr>
            <w:tcW w:w="2492" w:type="dxa"/>
            <w:tcBorders>
              <w:top w:val="single" w:sz="4" w:space="0" w:color="auto"/>
              <w:left w:val="single" w:sz="4" w:space="0" w:color="auto"/>
              <w:right w:val="single" w:sz="4" w:space="0" w:color="auto"/>
            </w:tcBorders>
            <w:shd w:val="clear" w:color="auto" w:fill="FFFFFF"/>
            <w:vAlign w:val="center"/>
          </w:tcPr>
          <w:p>
            <w:pPr>
              <w:rPr>
                <w:rFonts w:ascii="宋体" w:hAnsi="宋体"/>
              </w:rPr>
            </w:pPr>
            <w:r>
              <w:rPr>
                <w:rFonts w:ascii="宋体" w:hAnsi="宋体" w:hint="eastAsia"/>
              </w:rPr>
              <w:t>5天</w:t>
            </w:r>
          </w:p>
        </w:tc>
        <w:tc>
          <w:tcPr>
            <w:tcW w:w="2804" w:type="dxa"/>
            <w:vAlign w:val="center"/>
          </w:tcPr>
          <w:p/>
        </w:tc>
      </w:tr>
    </w:tbl>
    <w:p>
      <w:pPr>
        <w:spacing w:line="360" w:lineRule="auto"/>
        <w:ind w:firstLineChars="200" w:firstLine="420"/>
      </w:pPr>
      <w:r>
        <w:t>说明：</w:t>
      </w:r>
    </w:p>
    <w:p>
      <w:pPr>
        <w:spacing w:line="360" w:lineRule="auto"/>
        <w:ind w:firstLineChars="200" w:firstLine="420"/>
        <w:rPr>
          <w:rFonts w:ascii="宋体" w:hAnsi="宋体"/>
        </w:rPr>
      </w:pPr>
      <w:r>
        <w:rPr>
          <w:rFonts w:ascii="宋体" w:hAnsi="宋体" w:hint="eastAsia"/>
        </w:rPr>
        <w:t>1、</w:t>
      </w:r>
      <w:r>
        <w:rPr>
          <w:rFonts w:ascii="宋体" w:hAnsi="宋体"/>
        </w:rPr>
        <w:t>本表所列天数为每一阶段使用的最大容许天数；</w:t>
      </w:r>
    </w:p>
    <w:p>
      <w:pPr>
        <w:spacing w:line="360" w:lineRule="auto"/>
        <w:ind w:firstLineChars="200" w:firstLine="420"/>
        <w:rPr>
          <w:rFonts w:ascii="宋体" w:hAnsi="宋体"/>
        </w:rPr>
      </w:pPr>
      <w:r>
        <w:rPr>
          <w:rFonts w:ascii="宋体" w:hAnsi="宋体"/>
        </w:rPr>
        <w:t>2</w:t>
      </w:r>
      <w:r>
        <w:rPr>
          <w:rFonts w:ascii="宋体" w:hAnsi="宋体" w:hint="eastAsia"/>
        </w:rPr>
        <w:t>、</w:t>
      </w:r>
      <w:r>
        <w:rPr>
          <w:rFonts w:ascii="宋体" w:hAnsi="宋体" w:hint="eastAsia"/>
          <w:szCs w:val="21"/>
        </w:rPr>
        <w:t>投标方</w:t>
      </w:r>
      <w:r>
        <w:rPr>
          <w:rFonts w:ascii="宋体" w:hAnsi="宋体"/>
        </w:rPr>
        <w:t>可按上表所列总体进度安排更详细的进度表。</w:t>
      </w:r>
    </w:p>
    <w:p>
      <w:pPr>
        <w:numPr>
          <w:ilvl w:val="0"/>
          <w:numId w:val="2"/>
        </w:numPr>
        <w:spacing w:line="360" w:lineRule="auto"/>
        <w:ind w:left="842" w:firstLineChars="200" w:firstLine="420"/>
        <w:rPr>
          <w:bCs/>
        </w:rPr>
      </w:pPr>
      <w:bookmarkStart w:id="38" w:name="_Toc263581808"/>
      <w:r>
        <w:rPr>
          <w:rFonts w:hint="eastAsia"/>
          <w:bCs/>
        </w:rPr>
        <w:t>应急供货方案</w:t>
      </w:r>
      <w:bookmarkEnd w:id="38"/>
    </w:p>
    <w:p>
      <w:pPr>
        <w:spacing w:line="360" w:lineRule="auto"/>
        <w:ind w:firstLineChars="200" w:firstLine="420"/>
        <w:rPr>
          <w:rFonts w:ascii="宋体" w:hAnsi="宋体"/>
        </w:rPr>
      </w:pPr>
      <w:r>
        <w:rPr>
          <w:rFonts w:ascii="宋体" w:hAnsi="宋体" w:hint="eastAsia"/>
        </w:rPr>
        <w:t>投标方应提供详细的应急供货方案，以满足：在招标方急需设备的情况下，能在10天之内提供符合性能、配置要求的设备。</w:t>
      </w:r>
    </w:p>
    <w:p>
      <w:pPr>
        <w:keepNext/>
        <w:keepLines/>
        <w:widowControl w:val="0"/>
        <w:spacing w:before="240" w:after="120" w:line="413" w:lineRule="auto"/>
        <w:outlineLvl w:val="1"/>
        <w:rPr>
          <w:rFonts w:ascii="Arial" w:eastAsia="黑体" w:cs="Times New Roman" w:hAnsi="Arial"/>
          <w:bCs/>
          <w:sz w:val="24"/>
          <w:szCs w:val="32"/>
        </w:rPr>
      </w:pPr>
      <w:bookmarkStart w:id="39" w:name="_Toc508979337"/>
      <w:r>
        <w:rPr>
          <w:rFonts w:ascii="Arial" w:eastAsia="黑体" w:cs="Times New Roman" w:hAnsi="Arial" w:hint="eastAsia"/>
          <w:bCs/>
          <w:sz w:val="24"/>
          <w:szCs w:val="32"/>
        </w:rPr>
        <w:t>四、</w:t>
      </w:r>
      <w:bookmarkEnd w:id="39"/>
      <w:r>
        <w:rPr>
          <w:rFonts w:ascii="Arial" w:eastAsia="黑体" w:cs="Times New Roman" w:hAnsi="Arial" w:hint="eastAsia"/>
          <w:bCs/>
          <w:sz w:val="24"/>
          <w:szCs w:val="32"/>
        </w:rPr>
        <w:t>采购设备清单</w:t>
      </w:r>
    </w:p>
    <w:p>
      <w:pPr>
        <w:spacing w:beforeLines="50" w:before="156" w:afterLines="50" w:after="156"/>
        <w:rPr>
          <w:rFonts w:ascii="仿宋" w:eastAsia="仿宋" w:cs="仿宋" w:hAnsi="仿宋"/>
          <w:b/>
          <w:color w:val="000000"/>
          <w:sz w:val="28"/>
          <w:szCs w:val="28"/>
        </w:rPr>
      </w:pPr>
      <w:r>
        <w:rPr>
          <w:rFonts w:ascii="仿宋" w:eastAsia="仿宋" w:cs="仿宋" w:hAnsi="仿宋" w:hint="eastAsia"/>
          <w:b/>
          <w:color w:val="000000"/>
          <w:sz w:val="28"/>
          <w:szCs w:val="28"/>
        </w:rPr>
        <w:t>采购设备清单</w:t>
      </w:r>
    </w:p>
    <w:tbl>
      <w:tblPr>
        <w:jc w:val="center"/>
        <w:tblW w:w="7083"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1351"/>
        <w:gridCol w:w="3402"/>
        <w:gridCol w:w="2330"/>
      </w:tblGrid>
      <w:tr>
        <w:trPr>
          <w:trHeight w:val="340"/>
        </w:trPr>
        <w:tc>
          <w:tcPr>
            <w:tcW w:w="1351" w:type="dxa"/>
            <w:tcBorders>
              <w:top w:val="single" w:sz="4" w:space="0" w:color="auto"/>
              <w:left w:val="single" w:sz="4" w:space="0" w:color="auto"/>
              <w:bottom w:val="single" w:sz="4" w:space="0" w:color="auto"/>
              <w:right w:val="single" w:sz="4" w:space="0" w:color="auto"/>
            </w:tcBorders>
            <w:shd w:val="clear" w:color="auto" w:fill="BEBEBE"/>
            <w:tcMar>
              <w:top w:w="15" w:type="dxa"/>
              <w:left w:w="15" w:type="dxa"/>
              <w:bottom w:w="15" w:type="dxa"/>
              <w:right w:w="15" w:type="dxa"/>
            </w:tcMar>
            <w:vAlign w:val="bottom"/>
          </w:tcPr>
          <w:p>
            <w:pPr>
              <w:widowControl/>
              <w:jc w:val="center"/>
              <w:textAlignment w:val="bottom"/>
              <w:rPr>
                <w:rFonts w:ascii="仿宋" w:eastAsia="仿宋" w:cs="仿宋" w:hAnsi="仿宋"/>
                <w:b/>
                <w:color w:val="000000"/>
              </w:rPr>
            </w:pPr>
            <w:r>
              <w:rPr>
                <w:rFonts w:ascii="仿宋" w:eastAsia="仿宋" w:cs="仿宋" w:hAnsi="仿宋" w:hint="eastAsia"/>
                <w:b/>
                <w:color w:val="000000"/>
                <w:kern w:val="0"/>
              </w:rPr>
              <w:t>序号</w:t>
            </w:r>
          </w:p>
        </w:tc>
        <w:tc>
          <w:tcPr>
            <w:tcW w:w="3402" w:type="dxa"/>
            <w:tcBorders>
              <w:top w:val="single" w:sz="4" w:space="0" w:color="auto"/>
              <w:left w:val="single" w:sz="4" w:space="0" w:color="auto"/>
              <w:bottom w:val="single" w:sz="4" w:space="0" w:color="auto"/>
              <w:right w:val="single" w:sz="4" w:space="0" w:color="auto"/>
            </w:tcBorders>
            <w:shd w:val="clear" w:color="auto" w:fill="BEBEBE"/>
            <w:tcMar>
              <w:top w:w="15" w:type="dxa"/>
              <w:left w:w="15" w:type="dxa"/>
              <w:bottom w:w="15" w:type="dxa"/>
              <w:right w:w="15" w:type="dxa"/>
            </w:tcMar>
            <w:vAlign w:val="bottom"/>
          </w:tcPr>
          <w:p>
            <w:pPr>
              <w:widowControl/>
              <w:jc w:val="center"/>
              <w:textAlignment w:val="center"/>
              <w:rPr>
                <w:rFonts w:ascii="仿宋" w:eastAsia="仿宋" w:cs="仿宋" w:hAnsi="仿宋"/>
                <w:b/>
                <w:color w:val="000000"/>
              </w:rPr>
            </w:pPr>
            <w:r>
              <w:rPr>
                <w:rFonts w:ascii="仿宋" w:eastAsia="仿宋" w:cs="仿宋" w:hAnsi="仿宋" w:hint="eastAsia"/>
                <w:b/>
                <w:color w:val="000000"/>
                <w:kern w:val="0"/>
              </w:rPr>
              <w:t>产品名称</w:t>
            </w:r>
          </w:p>
        </w:tc>
        <w:tc>
          <w:tcPr>
            <w:tcW w:w="2330" w:type="dxa"/>
            <w:tcBorders>
              <w:top w:val="single" w:sz="4" w:space="0" w:color="auto"/>
              <w:left w:val="single" w:sz="4" w:space="0" w:color="auto"/>
              <w:bottom w:val="single" w:sz="4" w:space="0" w:color="auto"/>
              <w:right w:val="single" w:sz="4" w:space="0" w:color="auto"/>
            </w:tcBorders>
            <w:shd w:val="clear" w:color="auto" w:fill="BEBEBE"/>
            <w:tcMar>
              <w:top w:w="15" w:type="dxa"/>
              <w:left w:w="15" w:type="dxa"/>
              <w:bottom w:w="15" w:type="dxa"/>
              <w:right w:w="15" w:type="dxa"/>
            </w:tcMar>
            <w:vAlign w:val="bottom"/>
          </w:tcPr>
          <w:p>
            <w:pPr>
              <w:widowControl/>
              <w:jc w:val="center"/>
              <w:textAlignment w:val="bottom"/>
              <w:rPr>
                <w:rFonts w:ascii="仿宋" w:eastAsia="仿宋" w:cs="仿宋" w:hAnsi="仿宋"/>
                <w:b/>
                <w:color w:val="000000"/>
              </w:rPr>
            </w:pPr>
            <w:r>
              <w:rPr>
                <w:rFonts w:ascii="仿宋" w:eastAsia="仿宋" w:cs="仿宋" w:hAnsi="仿宋" w:hint="eastAsia"/>
                <w:b/>
                <w:color w:val="000000"/>
                <w:kern w:val="0"/>
              </w:rPr>
              <w:t>数量</w:t>
            </w:r>
          </w:p>
        </w:tc>
      </w:tr>
      <w:tr>
        <w:trPr>
          <w:trHeight w:val="339"/>
        </w:trPr>
        <w:tc>
          <w:tcPr>
            <w:tcW w:w="135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pPr>
              <w:widowControl/>
              <w:jc w:val="center"/>
              <w:textAlignment w:val="bottom"/>
              <w:rPr>
                <w:rFonts w:ascii="仿宋" w:eastAsia="仿宋" w:cs="仿宋" w:hAnsi="仿宋"/>
                <w:color w:val="000000"/>
                <w:kern w:val="0"/>
              </w:rPr>
            </w:pPr>
            <w:bookmarkStart w:id="40" w:name="_Hlk34840319"/>
            <w:r>
              <w:rPr>
                <w:rFonts w:ascii="仿宋" w:eastAsia="仿宋" w:cs="仿宋" w:hAnsi="仿宋" w:hint="eastAsia"/>
                <w:color w:val="000000"/>
                <w:kern w:val="0"/>
              </w:rPr>
              <w:t>1</w:t>
            </w:r>
          </w:p>
        </w:tc>
        <w:tc>
          <w:tcPr>
            <w:tcW w:w="340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pPr>
              <w:widowControl/>
              <w:jc w:val="center"/>
              <w:textAlignment w:val="bottom"/>
              <w:rPr>
                <w:rFonts w:ascii="仿宋" w:eastAsia="仿宋" w:cs="仿宋" w:hAnsi="仿宋"/>
                <w:color w:val="000000"/>
                <w:kern w:val="0"/>
              </w:rPr>
            </w:pPr>
            <w:r>
              <w:rPr>
                <w:rFonts w:ascii="仿宋" w:eastAsia="仿宋" w:cs="仿宋" w:hAnsi="仿宋"/>
                <w:color w:val="000000"/>
                <w:kern w:val="0"/>
              </w:rPr>
              <w:t>笔记本电脑</w:t>
            </w:r>
          </w:p>
        </w:tc>
        <w:tc>
          <w:tcPr>
            <w:tcW w:w="233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pPr>
              <w:widowControl/>
              <w:jc w:val="center"/>
              <w:textAlignment w:val="bottom"/>
              <w:rPr>
                <w:rFonts w:ascii="仿宋" w:eastAsia="仿宋" w:cs="仿宋" w:hAnsi="仿宋"/>
                <w:color w:val="000000"/>
                <w:kern w:val="0"/>
              </w:rPr>
            </w:pPr>
            <w:r>
              <w:rPr>
                <w:rFonts w:ascii="仿宋" w:eastAsia="仿宋" w:cs="仿宋" w:hAnsi="仿宋"/>
                <w:color w:val="000000"/>
                <w:kern w:val="0"/>
              </w:rPr>
              <w:t>2</w:t>
            </w:r>
            <w:r>
              <w:rPr>
                <w:rFonts w:ascii="仿宋" w:eastAsia="仿宋" w:cs="仿宋" w:hAnsi="仿宋" w:hint="eastAsia"/>
                <w:color w:val="000000"/>
                <w:kern w:val="0"/>
              </w:rPr>
              <w:t>台</w:t>
            </w:r>
          </w:p>
        </w:tc>
      </w:tr>
      <w:tr>
        <w:trPr>
          <w:trHeight w:val="339"/>
        </w:trPr>
        <w:tc>
          <w:tcPr>
            <w:tcW w:w="1351" w:type="dxa"/>
            <w:tcBorders>
              <w:top w:val="single" w:sz="4" w:space="0" w:color="auto"/>
              <w:left w:val="single" w:sz="4" w:space="0" w:color="auto"/>
              <w:bottom w:val="single" w:sz="4" w:space="0" w:color="auto"/>
              <w:right w:val="single" w:sz="4" w:space="0" w:color="auto"/>
            </w:tcBorders>
            <w:shd w:val="clear" w:color="auto" w:fill="FFFFFF"/>
            <w:vAlign w:val="center"/>
          </w:tcPr>
          <w:p>
            <w:pPr>
              <w:widowControl/>
              <w:jc w:val="center"/>
              <w:textAlignment w:val="bottom"/>
              <w:rPr>
                <w:rFonts w:ascii="仿宋" w:eastAsia="仿宋" w:cs="仿宋" w:hAnsi="仿宋"/>
                <w:color w:val="000000"/>
                <w:kern w:val="0"/>
              </w:rPr>
            </w:pPr>
            <w:bookmarkEnd w:id="40"/>
            <w:r>
              <w:rPr>
                <w:rFonts w:ascii="仿宋" w:eastAsia="仿宋" w:cs="仿宋" w:hAnsi="仿宋"/>
                <w:color w:val="000000"/>
                <w:kern w:val="0"/>
              </w:rPr>
              <w:t>2</w:t>
            </w:r>
          </w:p>
        </w:tc>
        <w:tc>
          <w:tcPr>
            <w:tcW w:w="3402" w:type="dxa"/>
            <w:tcBorders>
              <w:top w:val="single" w:sz="4" w:space="0" w:color="auto"/>
              <w:left w:val="single" w:sz="4" w:space="0" w:color="auto"/>
              <w:bottom w:val="single" w:sz="4" w:space="0" w:color="auto"/>
              <w:right w:val="single" w:sz="4" w:space="0" w:color="auto"/>
            </w:tcBorders>
            <w:shd w:val="clear" w:color="auto" w:fill="FFFFFF"/>
            <w:vAlign w:val="center"/>
          </w:tcPr>
          <w:p>
            <w:pPr>
              <w:widowControl/>
              <w:jc w:val="center"/>
              <w:textAlignment w:val="bottom"/>
              <w:rPr>
                <w:rFonts w:ascii="仿宋" w:eastAsia="仿宋" w:cs="仿宋" w:hAnsi="仿宋"/>
                <w:color w:val="000000"/>
                <w:kern w:val="0"/>
              </w:rPr>
            </w:pPr>
            <w:r>
              <w:rPr>
                <w:rFonts w:ascii="仿宋" w:eastAsia="仿宋" w:cs="仿宋" w:hAnsi="仿宋"/>
                <w:color w:val="000000"/>
                <w:kern w:val="0"/>
              </w:rPr>
              <w:t>台式PC机</w:t>
            </w:r>
          </w:p>
        </w:tc>
        <w:tc>
          <w:tcPr>
            <w:tcW w:w="2330" w:type="dxa"/>
            <w:tcBorders>
              <w:top w:val="single" w:sz="4" w:space="0" w:color="auto"/>
              <w:left w:val="single" w:sz="4" w:space="0" w:color="auto"/>
              <w:bottom w:val="single" w:sz="4" w:space="0" w:color="auto"/>
              <w:right w:val="single" w:sz="4" w:space="0" w:color="auto"/>
            </w:tcBorders>
            <w:shd w:val="clear" w:color="auto" w:fill="FFFFFF"/>
            <w:vAlign w:val="center"/>
          </w:tcPr>
          <w:p>
            <w:pPr>
              <w:widowControl/>
              <w:jc w:val="center"/>
              <w:textAlignment w:val="bottom"/>
              <w:rPr>
                <w:rFonts w:ascii="仿宋" w:eastAsia="仿宋" w:cs="仿宋" w:hAnsi="仿宋"/>
                <w:color w:val="000000"/>
                <w:kern w:val="0"/>
              </w:rPr>
            </w:pPr>
            <w:r>
              <w:rPr>
                <w:rFonts w:ascii="仿宋" w:eastAsia="仿宋" w:cs="仿宋" w:hAnsi="仿宋"/>
                <w:color w:val="000000"/>
                <w:kern w:val="0"/>
              </w:rPr>
              <w:t>3</w:t>
            </w:r>
            <w:r>
              <w:rPr>
                <w:rFonts w:ascii="仿宋" w:eastAsia="仿宋" w:cs="仿宋" w:hAnsi="仿宋" w:hint="eastAsia"/>
                <w:color w:val="000000"/>
                <w:kern w:val="0"/>
              </w:rPr>
              <w:t>台</w:t>
            </w:r>
          </w:p>
        </w:tc>
      </w:tr>
    </w:tbl>
    <w:p>
      <w:pPr>
        <w:spacing w:beforeLines="50" w:before="156" w:afterLines="50" w:after="156"/>
        <w:rPr>
          <w:rFonts w:ascii="仿宋" w:eastAsia="仿宋" w:cs="仿宋" w:hAnsi="仿宋"/>
          <w:b/>
          <w:color w:val="000000"/>
          <w:sz w:val="28"/>
          <w:szCs w:val="28"/>
        </w:rPr>
      </w:pPr>
      <w:r>
        <w:rPr>
          <w:rFonts w:ascii="仿宋" w:eastAsia="仿宋" w:cs="仿宋" w:hAnsi="仿宋"/>
          <w:b/>
          <w:color w:val="000000"/>
          <w:sz w:val="28"/>
          <w:szCs w:val="28"/>
        </w:rPr>
        <w:t>1</w:t>
      </w:r>
      <w:r>
        <w:rPr>
          <w:rFonts w:ascii="仿宋" w:eastAsia="仿宋" w:cs="仿宋" w:hAnsi="仿宋" w:hint="eastAsia"/>
          <w:b/>
          <w:color w:val="000000"/>
          <w:sz w:val="28"/>
          <w:szCs w:val="28"/>
        </w:rPr>
        <w:t>.</w:t>
      </w:r>
      <w:r>
        <w:rPr>
          <w:rFonts w:ascii="仿宋" w:eastAsia="仿宋" w:cs="仿宋" w:hAnsi="仿宋"/>
          <w:b/>
          <w:color w:val="000000"/>
          <w:sz w:val="28"/>
          <w:szCs w:val="28"/>
        </w:rPr>
        <w:t>笔记本电脑配置</w:t>
      </w:r>
    </w:p>
    <w:tbl>
      <w:tblPr>
        <w:jc w:val="center"/>
        <w:tblW w:w="9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92"/>
        <w:gridCol w:w="7725"/>
      </w:tblGrid>
      <w:tr>
        <w:trPr>
          <w:trHeight w:val="379"/>
        </w:trPr>
        <w:tc>
          <w:tcPr>
            <w:tcW w:w="1492" w:type="dxa"/>
            <w:tcBorders>
              <w:top w:val="single" w:sz="4" w:space="0" w:color="auto"/>
              <w:left w:val="single" w:sz="4" w:space="0" w:color="auto"/>
              <w:bottom w:val="single" w:sz="4" w:space="0" w:color="auto"/>
              <w:right w:val="single" w:sz="4" w:space="0" w:color="auto"/>
            </w:tcBorders>
            <w:shd w:val="clear" w:color="auto" w:fill="BEBEBE"/>
            <w:vAlign w:val="center"/>
          </w:tcPr>
          <w:p>
            <w:pPr>
              <w:jc w:val="center"/>
              <w:rPr>
                <w:rFonts w:ascii="仿宋" w:eastAsia="仿宋" w:cs="仿宋" w:hAnsi="仿宋"/>
                <w:b/>
                <w:bCs/>
                <w:color w:val="000000"/>
                <w:szCs w:val="21"/>
              </w:rPr>
            </w:pPr>
            <w:r>
              <w:rPr>
                <w:rFonts w:ascii="仿宋" w:eastAsia="仿宋" w:cs="仿宋" w:hAnsi="仿宋" w:hint="eastAsia"/>
                <w:b/>
                <w:bCs/>
                <w:color w:val="000000"/>
                <w:szCs w:val="21"/>
              </w:rPr>
              <w:t>指标项</w:t>
            </w:r>
          </w:p>
        </w:tc>
        <w:tc>
          <w:tcPr>
            <w:tcW w:w="7725" w:type="dxa"/>
            <w:tcBorders>
              <w:top w:val="single" w:sz="4" w:space="0" w:color="auto"/>
              <w:left w:val="single" w:sz="4" w:space="0" w:color="auto"/>
              <w:bottom w:val="single" w:sz="4" w:space="0" w:color="auto"/>
              <w:right w:val="single" w:sz="4" w:space="0" w:color="auto"/>
            </w:tcBorders>
            <w:shd w:val="clear" w:color="auto" w:fill="BEBEBE"/>
            <w:vAlign w:val="center"/>
          </w:tcPr>
          <w:p>
            <w:pPr>
              <w:jc w:val="center"/>
              <w:rPr>
                <w:rFonts w:ascii="仿宋" w:eastAsia="仿宋" w:cs="仿宋" w:hAnsi="仿宋"/>
                <w:b/>
                <w:bCs/>
                <w:color w:val="000000"/>
                <w:szCs w:val="21"/>
              </w:rPr>
            </w:pPr>
            <w:r>
              <w:rPr>
                <w:rFonts w:ascii="仿宋" w:eastAsia="仿宋" w:cs="仿宋" w:hAnsi="仿宋" w:hint="eastAsia"/>
                <w:b/>
                <w:bCs/>
                <w:color w:val="000000"/>
                <w:szCs w:val="21"/>
              </w:rPr>
              <w:t>技术规格要求</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处理器</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★规格：Intel芯片，13700H及以上型号 14核心</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color w:val="000000"/>
                <w:szCs w:val="21"/>
              </w:rPr>
              <w:t>内存</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w:t>
            </w:r>
            <w:r>
              <w:rPr>
                <w:rFonts w:ascii="仿宋" w:eastAsia="仿宋" w:cs="仿宋" w:hAnsi="仿宋"/>
                <w:color w:val="000000"/>
                <w:szCs w:val="21"/>
              </w:rPr>
              <w:t>16G以上</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color w:val="000000"/>
                <w:szCs w:val="21"/>
              </w:rPr>
              <w:t>硬盘</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★≥512G M.2 SSD固态硬盘</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显卡</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宋体" w:cs="仿宋" w:hAnsi="仿宋"/>
                <w:color w:val="000000"/>
                <w:szCs w:val="21"/>
              </w:rPr>
            </w:pPr>
            <w:r>
              <w:rPr>
                <w:rFonts w:ascii="仿宋" w:eastAsia="仿宋" w:cs="仿宋" w:hAnsi="仿宋" w:hint="eastAsia"/>
                <w:color w:val="000000"/>
                <w:szCs w:val="21"/>
              </w:rPr>
              <w:t>★</w:t>
            </w:r>
            <w:r>
              <w:rPr>
                <w:rFonts w:ascii="仿宋" w:eastAsia="仿宋" w:cs="仿宋" w:hAnsi="仿宋"/>
                <w:color w:val="000000"/>
                <w:szCs w:val="21"/>
              </w:rPr>
              <w:t>NVIDIA GeForce RTX3050</w:t>
            </w:r>
            <w:r>
              <w:rPr>
                <w:rFonts w:ascii="仿宋" w:eastAsia="仿宋" w:cs="仿宋" w:hAnsi="仿宋" w:hint="eastAsia"/>
                <w:color w:val="000000"/>
                <w:szCs w:val="21"/>
              </w:rPr>
              <w:t xml:space="preserve"> 4G或以上型号独立显卡</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color w:val="000000"/>
                <w:szCs w:val="21"/>
              </w:rPr>
              <w:t>屏幕</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★14" FHD防眩光显示屏，分辨率≥2240*1400</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网卡</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集成标准千兆RJ45网口以及WIFI6无线网卡</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接口</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接口：≥2个雷电4接口（兼容USB Typy-C）、≥2个USB 3.0接口；≥1个HDMI 2.0b接口</w:t>
            </w:r>
          </w:p>
        </w:tc>
      </w:tr>
      <w:tr>
        <w:trPr>
          <w:trHeight w:val="476"/>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温度</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工作温度 5℃－40℃</w:t>
            </w:r>
          </w:p>
        </w:tc>
      </w:tr>
      <w:tr>
        <w:trPr>
          <w:trHeight w:val="998"/>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厂商认证</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设备通过中国质量认证中心颁发的 CCC、节能、环保证书</w:t>
            </w:r>
          </w:p>
        </w:tc>
      </w:tr>
      <w:tr>
        <w:trPr>
          <w:trHeight w:val="998"/>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操作系统</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color w:val="000000"/>
                <w:szCs w:val="21"/>
              </w:rPr>
              <w:t>预装win1</w:t>
            </w:r>
            <w:r>
              <w:rPr>
                <w:rFonts w:ascii="仿宋" w:eastAsia="仿宋" w:cs="仿宋" w:hAnsi="仿宋" w:hint="eastAsia"/>
                <w:color w:val="000000"/>
                <w:szCs w:val="21"/>
              </w:rPr>
              <w:t>1</w:t>
            </w:r>
            <w:r>
              <w:rPr>
                <w:rFonts w:ascii="仿宋" w:eastAsia="仿宋" w:cs="仿宋" w:hAnsi="仿宋"/>
                <w:color w:val="000000"/>
                <w:szCs w:val="21"/>
              </w:rPr>
              <w:t>操作系统</w:t>
            </w:r>
            <w:r>
              <w:rPr>
                <w:rFonts w:ascii="仿宋" w:eastAsia="仿宋" w:cs="仿宋" w:hAnsi="仿宋" w:hint="eastAsia"/>
                <w:color w:val="000000"/>
                <w:szCs w:val="21"/>
              </w:rPr>
              <w:t>；支持所有硬件驱动安装。</w:t>
            </w:r>
          </w:p>
        </w:tc>
      </w:tr>
      <w:tr>
        <w:trPr>
          <w:trHeight w:val="79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服务</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★2年原厂维保服务</w:t>
            </w:r>
          </w:p>
        </w:tc>
      </w:tr>
      <w:tr>
        <w:trPr>
          <w:trHeight w:val="79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color w:val="000000"/>
                <w:szCs w:val="21"/>
              </w:rPr>
              <w:t>附件</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1</w:t>
            </w:r>
            <w:r>
              <w:rPr>
                <w:rFonts w:ascii="仿宋" w:eastAsia="仿宋" w:cs="仿宋" w:hAnsi="仿宋"/>
                <w:color w:val="000000"/>
                <w:szCs w:val="21"/>
              </w:rPr>
              <w:t>鼠标</w:t>
            </w:r>
            <w:r>
              <w:rPr>
                <w:rFonts w:ascii="仿宋" w:eastAsia="仿宋" w:cs="仿宋" w:hAnsi="仿宋" w:hint="eastAsia"/>
                <w:color w:val="000000"/>
                <w:szCs w:val="21"/>
              </w:rPr>
              <w:t>、电脑包</w:t>
            </w:r>
          </w:p>
          <w:p>
            <w:pPr>
              <w:rPr>
                <w:rFonts w:ascii="仿宋" w:eastAsia="仿宋" w:cs="仿宋" w:hAnsi="仿宋"/>
                <w:color w:val="000000"/>
                <w:szCs w:val="21"/>
              </w:rPr>
            </w:pPr>
            <w:r>
              <w:rPr>
                <w:rFonts w:ascii="仿宋" w:eastAsia="仿宋" w:cs="仿宋" w:hAnsi="仿宋" w:hint="eastAsia"/>
                <w:color w:val="000000"/>
                <w:szCs w:val="21"/>
              </w:rPr>
              <w:t>2其他满足本工程实施需要的耗材</w:t>
            </w:r>
          </w:p>
        </w:tc>
      </w:tr>
      <w:tr>
        <w:trPr>
          <w:trHeight w:val="79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备注</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宋体" w:eastAsia="仿宋" w:cs="宋体" w:hAnsi="宋体"/>
                <w:szCs w:val="21"/>
              </w:rPr>
            </w:pPr>
          </w:p>
        </w:tc>
      </w:tr>
    </w:tbl>
    <w:p>
      <w:pPr>
        <w:rPr>
          <w:rFonts w:ascii="仿宋" w:eastAsia="仿宋" w:cs="仿宋" w:hAnsi="仿宋"/>
          <w:b/>
          <w:color w:val="000000"/>
          <w:szCs w:val="21"/>
        </w:rPr>
      </w:pPr>
      <w:r>
        <w:rPr>
          <w:rFonts w:ascii="仿宋" w:eastAsia="仿宋" w:cs="仿宋" w:hAnsi="仿宋" w:hint="eastAsia"/>
          <w:b/>
          <w:color w:val="000000"/>
        </w:rPr>
        <w:t>注：1、加</w:t>
      </w:r>
      <w:r>
        <w:rPr>
          <w:rFonts w:ascii="仿宋" w:eastAsia="仿宋" w:cs="仿宋" w:hAnsi="仿宋" w:hint="eastAsia"/>
          <w:b/>
          <w:color w:val="000000"/>
          <w:szCs w:val="21"/>
        </w:rPr>
        <w:t>★项为必须满足项，若不满足，按无效标处理。</w:t>
      </w:r>
    </w:p>
    <w:p>
      <w:pPr>
        <w:spacing w:after="120"/>
        <w:ind w:firstLineChars="200" w:firstLine="420"/>
        <w:rPr>
          <w:rFonts w:eastAsia="仿宋"/>
          <w:b/>
          <w:bCs/>
        </w:rPr>
      </w:pPr>
      <w:r>
        <w:rPr>
          <w:rFonts w:eastAsia="仿宋" w:hint="eastAsia"/>
          <w:b/>
          <w:bCs/>
        </w:rPr>
        <w:t>2、要求同一品牌。</w:t>
      </w:r>
    </w:p>
    <w:p>
      <w:pPr>
        <w:spacing w:beforeLines="50" w:before="156" w:afterLines="50" w:after="156"/>
        <w:rPr>
          <w:rFonts w:ascii="仿宋" w:eastAsia="仿宋" w:cs="仿宋" w:hAnsi="仿宋"/>
          <w:b/>
          <w:color w:val="000000"/>
          <w:sz w:val="28"/>
          <w:szCs w:val="28"/>
        </w:rPr>
      </w:pPr>
      <w:bookmarkStart w:id="41" w:name="_Toc508979342"/>
      <w:r>
        <w:rPr>
          <w:rFonts w:ascii="仿宋" w:eastAsia="仿宋" w:cs="仿宋" w:hAnsi="仿宋"/>
          <w:b/>
          <w:color w:val="000000"/>
          <w:sz w:val="28"/>
          <w:szCs w:val="28"/>
        </w:rPr>
        <w:t>2</w:t>
      </w:r>
      <w:r>
        <w:rPr>
          <w:rFonts w:ascii="仿宋" w:eastAsia="仿宋" w:cs="仿宋" w:hAnsi="仿宋" w:hint="eastAsia"/>
          <w:b/>
          <w:color w:val="000000"/>
          <w:sz w:val="28"/>
          <w:szCs w:val="28"/>
        </w:rPr>
        <w:t>.</w:t>
      </w:r>
      <w:r>
        <w:rPr>
          <w:rFonts w:ascii="仿宋" w:eastAsia="仿宋" w:cs="仿宋" w:hAnsi="仿宋"/>
          <w:b/>
          <w:color w:val="000000"/>
          <w:sz w:val="28"/>
          <w:szCs w:val="28"/>
        </w:rPr>
        <w:t>台式PC机配置</w:t>
      </w:r>
    </w:p>
    <w:tbl>
      <w:tblPr>
        <w:jc w:val="center"/>
        <w:tblW w:w="9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92"/>
        <w:gridCol w:w="7725"/>
      </w:tblGrid>
      <w:tr>
        <w:trPr>
          <w:trHeight w:val="379"/>
        </w:trPr>
        <w:tc>
          <w:tcPr>
            <w:tcW w:w="1492" w:type="dxa"/>
            <w:tcBorders>
              <w:top w:val="single" w:sz="4" w:space="0" w:color="auto"/>
              <w:left w:val="single" w:sz="4" w:space="0" w:color="auto"/>
              <w:bottom w:val="single" w:sz="4" w:space="0" w:color="auto"/>
              <w:right w:val="single" w:sz="4" w:space="0" w:color="auto"/>
            </w:tcBorders>
            <w:shd w:val="clear" w:color="auto" w:fill="BEBEBE"/>
            <w:vAlign w:val="center"/>
          </w:tcPr>
          <w:p>
            <w:pPr>
              <w:jc w:val="center"/>
              <w:rPr>
                <w:rFonts w:ascii="仿宋" w:eastAsia="仿宋" w:cs="仿宋" w:hAnsi="仿宋"/>
                <w:b/>
                <w:bCs/>
                <w:color w:val="000000"/>
                <w:szCs w:val="21"/>
              </w:rPr>
            </w:pPr>
            <w:r>
              <w:rPr>
                <w:rFonts w:ascii="仿宋" w:eastAsia="仿宋" w:cs="仿宋" w:hAnsi="仿宋" w:hint="eastAsia"/>
                <w:b/>
                <w:bCs/>
                <w:color w:val="000000"/>
                <w:szCs w:val="21"/>
              </w:rPr>
              <w:t>指标项</w:t>
            </w:r>
          </w:p>
        </w:tc>
        <w:tc>
          <w:tcPr>
            <w:tcW w:w="7725" w:type="dxa"/>
            <w:tcBorders>
              <w:top w:val="single" w:sz="4" w:space="0" w:color="auto"/>
              <w:left w:val="single" w:sz="4" w:space="0" w:color="auto"/>
              <w:bottom w:val="single" w:sz="4" w:space="0" w:color="auto"/>
              <w:right w:val="single" w:sz="4" w:space="0" w:color="auto"/>
            </w:tcBorders>
            <w:shd w:val="clear" w:color="auto" w:fill="BEBEBE"/>
            <w:vAlign w:val="center"/>
          </w:tcPr>
          <w:p>
            <w:pPr>
              <w:jc w:val="center"/>
              <w:rPr>
                <w:rFonts w:ascii="仿宋" w:eastAsia="仿宋" w:cs="仿宋" w:hAnsi="仿宋"/>
                <w:b/>
                <w:bCs/>
                <w:color w:val="000000"/>
                <w:szCs w:val="21"/>
              </w:rPr>
            </w:pPr>
            <w:r>
              <w:rPr>
                <w:rFonts w:ascii="仿宋" w:eastAsia="仿宋" w:cs="仿宋" w:hAnsi="仿宋" w:hint="eastAsia"/>
                <w:b/>
                <w:bCs/>
                <w:color w:val="000000"/>
                <w:szCs w:val="21"/>
              </w:rPr>
              <w:t>技术规格要求</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处理器</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★规格：Intel芯片，i7-12700处理器或以上型号</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color w:val="000000"/>
                <w:szCs w:val="21"/>
              </w:rPr>
              <w:t>内存</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★2*16G 4800MHz DDR5 NECC内存</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color w:val="000000"/>
                <w:szCs w:val="21"/>
              </w:rPr>
              <w:t>硬盘</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 xml:space="preserve">★512GB M.2 2280 NVMe TLC </w:t>
            </w:r>
            <w:r>
              <w:rPr>
                <w:rFonts w:ascii="仿宋" w:eastAsia="仿宋" w:cs="仿宋" w:hAnsi="仿宋"/>
                <w:color w:val="000000"/>
                <w:szCs w:val="21"/>
              </w:rPr>
              <w:t xml:space="preserve">SSD  </w:t>
            </w:r>
            <w:r>
              <w:rPr>
                <w:rFonts w:ascii="仿宋" w:eastAsia="仿宋" w:cs="仿宋" w:hAnsi="仿宋" w:hint="eastAsia"/>
                <w:color w:val="000000"/>
                <w:szCs w:val="21"/>
              </w:rPr>
              <w:t>+</w:t>
            </w:r>
            <w:r>
              <w:rPr>
                <w:rFonts w:ascii="仿宋" w:eastAsia="仿宋" w:cs="仿宋" w:hAnsi="仿宋"/>
                <w:color w:val="000000"/>
                <w:szCs w:val="21"/>
              </w:rPr>
              <w:t xml:space="preserve"> 1TB以上</w:t>
            </w:r>
            <w:r>
              <w:t>7200RPM</w:t>
            </w:r>
            <w:r>
              <w:rPr>
                <w:rFonts w:ascii="仿宋" w:eastAsia="仿宋" w:cs="仿宋" w:hAnsi="仿宋"/>
                <w:color w:val="000000"/>
                <w:szCs w:val="21"/>
              </w:rPr>
              <w:t>机械硬盘</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主板</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★W680芯片组</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接口</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★配备USB 3.2、TYPE-C、HDMI</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显卡</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★NVIDIA T400 4G以上独立显卡</w:t>
            </w:r>
          </w:p>
        </w:tc>
      </w:tr>
      <w:tr>
        <w:trPr>
          <w:trHeight w:val="6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color w:val="000000"/>
                <w:szCs w:val="21"/>
              </w:rPr>
              <w:t>显示器</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★≥23.8英寸1920*1080分辨率，与主机同品牌</w:t>
            </w:r>
          </w:p>
        </w:tc>
      </w:tr>
      <w:tr>
        <w:trPr>
          <w:trHeight w:val="476"/>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温度</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工作温度 5℃－40℃</w:t>
            </w:r>
          </w:p>
        </w:tc>
      </w:tr>
      <w:tr>
        <w:trPr>
          <w:trHeight w:val="998"/>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厂商认证</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国家强制性产品试验报告（CCC），节能认证，环境认证，ISV软件认证说明函；</w:t>
            </w:r>
          </w:p>
        </w:tc>
      </w:tr>
      <w:tr>
        <w:trPr>
          <w:trHeight w:val="998"/>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操作系统</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color w:val="000000"/>
                <w:szCs w:val="21"/>
              </w:rPr>
              <w:t>预装win10</w:t>
            </w:r>
            <w:r>
              <w:rPr>
                <w:rFonts w:ascii="仿宋" w:eastAsia="仿宋" w:cs="仿宋" w:hAnsi="仿宋" w:hint="eastAsia"/>
                <w:color w:val="000000"/>
                <w:szCs w:val="21"/>
              </w:rPr>
              <w:t>或以上</w:t>
            </w:r>
            <w:r>
              <w:rPr>
                <w:rFonts w:ascii="仿宋" w:eastAsia="仿宋" w:cs="仿宋" w:hAnsi="仿宋"/>
                <w:color w:val="000000"/>
                <w:szCs w:val="21"/>
              </w:rPr>
              <w:t>操作系统</w:t>
            </w:r>
            <w:r>
              <w:rPr>
                <w:rFonts w:ascii="仿宋" w:eastAsia="仿宋" w:cs="仿宋" w:hAnsi="仿宋" w:hint="eastAsia"/>
                <w:color w:val="000000"/>
                <w:szCs w:val="21"/>
              </w:rPr>
              <w:t>；支持所有硬件驱动安装。</w:t>
            </w:r>
          </w:p>
        </w:tc>
      </w:tr>
      <w:tr>
        <w:trPr>
          <w:trHeight w:val="79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服务</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★提供针对此项目的原厂授权及原厂售后服务承诺函；提供3年部件及人工服务，原厂400/800技术支持，可通过网络、电话、邮件等方式提供软硬件技术支持</w:t>
            </w:r>
          </w:p>
        </w:tc>
      </w:tr>
      <w:tr>
        <w:trPr>
          <w:trHeight w:val="79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color w:val="000000"/>
                <w:szCs w:val="21"/>
              </w:rPr>
              <w:t>附件</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仿宋" w:eastAsia="仿宋" w:cs="仿宋" w:hAnsi="仿宋"/>
                <w:color w:val="000000"/>
                <w:szCs w:val="21"/>
              </w:rPr>
            </w:pPr>
            <w:r>
              <w:rPr>
                <w:rFonts w:ascii="仿宋" w:eastAsia="仿宋" w:cs="仿宋" w:hAnsi="仿宋" w:hint="eastAsia"/>
                <w:color w:val="000000"/>
                <w:szCs w:val="21"/>
              </w:rPr>
              <w:t>1</w:t>
            </w:r>
            <w:r>
              <w:rPr>
                <w:rFonts w:ascii="仿宋" w:eastAsia="仿宋" w:cs="仿宋" w:hAnsi="仿宋"/>
                <w:color w:val="000000"/>
                <w:szCs w:val="21"/>
              </w:rPr>
              <w:t>鼠标键盘</w:t>
            </w:r>
          </w:p>
          <w:p>
            <w:pPr>
              <w:rPr>
                <w:rFonts w:ascii="仿宋" w:eastAsia="仿宋" w:cs="仿宋" w:hAnsi="仿宋"/>
                <w:color w:val="000000"/>
                <w:szCs w:val="21"/>
              </w:rPr>
            </w:pPr>
            <w:r>
              <w:rPr>
                <w:rFonts w:ascii="仿宋" w:eastAsia="仿宋" w:cs="仿宋" w:hAnsi="仿宋" w:hint="eastAsia"/>
                <w:color w:val="000000"/>
                <w:szCs w:val="21"/>
              </w:rPr>
              <w:t>2其他满足本工程实施需要的耗材</w:t>
            </w:r>
          </w:p>
        </w:tc>
      </w:tr>
      <w:tr>
        <w:trPr>
          <w:trHeight w:val="795"/>
        </w:trPr>
        <w:tc>
          <w:tcPr>
            <w:tcW w:w="1492" w:type="dxa"/>
            <w:tcBorders>
              <w:top w:val="single" w:sz="4" w:space="0" w:color="auto"/>
              <w:left w:val="single" w:sz="4" w:space="0" w:color="auto"/>
              <w:bottom w:val="single" w:sz="4" w:space="0" w:color="auto"/>
              <w:right w:val="single" w:sz="4" w:space="0" w:color="auto"/>
            </w:tcBorders>
            <w:vAlign w:val="center"/>
          </w:tcPr>
          <w:p>
            <w:pPr>
              <w:jc w:val="center"/>
              <w:rPr>
                <w:rFonts w:ascii="仿宋" w:eastAsia="仿宋" w:cs="仿宋" w:hAnsi="仿宋"/>
                <w:color w:val="000000"/>
                <w:szCs w:val="21"/>
              </w:rPr>
            </w:pPr>
            <w:r>
              <w:rPr>
                <w:rFonts w:ascii="仿宋" w:eastAsia="仿宋" w:cs="仿宋" w:hAnsi="仿宋" w:hint="eastAsia"/>
                <w:color w:val="000000"/>
                <w:szCs w:val="21"/>
              </w:rPr>
              <w:t>备注</w:t>
            </w:r>
          </w:p>
        </w:tc>
        <w:tc>
          <w:tcPr>
            <w:tcW w:w="7725" w:type="dxa"/>
            <w:tcBorders>
              <w:top w:val="single" w:sz="4" w:space="0" w:color="auto"/>
              <w:left w:val="single" w:sz="4" w:space="0" w:color="auto"/>
              <w:bottom w:val="single" w:sz="4" w:space="0" w:color="auto"/>
              <w:right w:val="single" w:sz="4" w:space="0" w:color="auto"/>
            </w:tcBorders>
            <w:vAlign w:val="center"/>
          </w:tcPr>
          <w:p>
            <w:pPr>
              <w:rPr>
                <w:rFonts w:ascii="宋体" w:eastAsia="仿宋" w:cs="宋体" w:hAnsi="宋体"/>
                <w:szCs w:val="21"/>
              </w:rPr>
            </w:pPr>
          </w:p>
        </w:tc>
      </w:tr>
    </w:tbl>
    <w:p>
      <w:pPr>
        <w:rPr>
          <w:rFonts w:ascii="仿宋" w:eastAsia="仿宋" w:cs="仿宋" w:hAnsi="仿宋"/>
          <w:b/>
          <w:color w:val="000000"/>
        </w:rPr>
      </w:pPr>
    </w:p>
    <w:p>
      <w:pPr>
        <w:rPr>
          <w:rFonts w:ascii="仿宋" w:eastAsia="仿宋" w:cs="仿宋" w:hAnsi="仿宋"/>
          <w:b/>
          <w:color w:val="000000"/>
          <w:szCs w:val="21"/>
        </w:rPr>
      </w:pPr>
      <w:r>
        <w:rPr>
          <w:rFonts w:ascii="仿宋" w:eastAsia="仿宋" w:cs="仿宋" w:hAnsi="仿宋" w:hint="eastAsia"/>
          <w:b/>
          <w:color w:val="000000"/>
        </w:rPr>
        <w:t>注：1、加</w:t>
      </w:r>
      <w:r>
        <w:rPr>
          <w:rFonts w:ascii="仿宋" w:eastAsia="仿宋" w:cs="仿宋" w:hAnsi="仿宋" w:hint="eastAsia"/>
          <w:b/>
          <w:color w:val="000000"/>
          <w:szCs w:val="21"/>
        </w:rPr>
        <w:t>★项为必须满足项，若不满足，按无效标处理。</w:t>
      </w:r>
    </w:p>
    <w:p>
      <w:pPr>
        <w:spacing w:after="120"/>
        <w:ind w:firstLineChars="200" w:firstLine="420"/>
        <w:rPr>
          <w:rFonts w:eastAsia="仿宋"/>
          <w:b/>
          <w:bCs/>
        </w:rPr>
      </w:pPr>
      <w:r>
        <w:rPr>
          <w:rFonts w:eastAsia="仿宋" w:hint="eastAsia"/>
          <w:b/>
          <w:bCs/>
        </w:rPr>
        <w:t>2、要求同一品牌。</w:t>
      </w:r>
    </w:p>
    <w:p>
      <w:pPr>
        <w:keepNext/>
        <w:keepLines/>
        <w:widowControl w:val="0"/>
        <w:spacing w:before="240" w:after="120" w:line="413" w:lineRule="auto"/>
        <w:outlineLvl w:val="1"/>
        <w:rPr>
          <w:rFonts w:ascii="Arial" w:eastAsia="黑体" w:cs="Times New Roman" w:hAnsi="Arial"/>
          <w:bCs/>
          <w:sz w:val="24"/>
          <w:szCs w:val="21"/>
        </w:rPr>
      </w:pPr>
      <w:r>
        <w:rPr>
          <w:rFonts w:ascii="Arial" w:eastAsia="黑体" w:cs="Times New Roman" w:hAnsi="Arial" w:hint="eastAsia"/>
          <w:bCs/>
          <w:sz w:val="24"/>
          <w:szCs w:val="32"/>
        </w:rPr>
        <w:t>五、项目实施</w:t>
      </w:r>
      <w:bookmarkEnd w:id="41"/>
    </w:p>
    <w:p>
      <w:pPr>
        <w:numPr>
          <w:ilvl w:val="0"/>
          <w:numId w:val="4"/>
        </w:numPr>
        <w:spacing w:line="360" w:lineRule="auto"/>
      </w:pPr>
      <w:bookmarkStart w:id="42" w:name="_Toc291008615"/>
      <w:r>
        <w:rPr>
          <w:rFonts w:hint="eastAsia"/>
        </w:rPr>
        <w:t>实施地点</w:t>
      </w:r>
      <w:bookmarkEnd w:id="42"/>
    </w:p>
    <w:p>
      <w:pPr>
        <w:spacing w:line="360" w:lineRule="auto"/>
        <w:ind w:firstLineChars="200" w:firstLine="420"/>
        <w:rPr>
          <w:rFonts w:ascii="Arial" w:hAnsi="Arial"/>
          <w:szCs w:val="21"/>
        </w:rPr>
      </w:pPr>
      <w:r>
        <w:rPr>
          <w:rFonts w:ascii="Arial" w:hAnsi="Arial" w:hint="eastAsia"/>
          <w:szCs w:val="21"/>
        </w:rPr>
        <w:t>中国邮政集团有限公司河南省信息技术</w:t>
      </w:r>
      <w:r>
        <w:rPr>
          <w:rFonts w:ascii="Arial" w:hAnsi="Arial"/>
          <w:szCs w:val="21"/>
        </w:rPr>
        <w:t>中心</w:t>
      </w:r>
      <w:r>
        <w:rPr>
          <w:rFonts w:ascii="Arial" w:hAnsi="Arial" w:hint="eastAsia"/>
          <w:szCs w:val="21"/>
        </w:rPr>
        <w:t>；</w:t>
      </w:r>
    </w:p>
    <w:p>
      <w:pPr>
        <w:numPr>
          <w:ilvl w:val="0"/>
          <w:numId w:val="4"/>
        </w:numPr>
        <w:spacing w:line="360" w:lineRule="auto"/>
      </w:pPr>
      <w:bookmarkStart w:id="43" w:name="_Toc291008629"/>
      <w:bookmarkStart w:id="44" w:name="_Toc261423889"/>
      <w:bookmarkStart w:id="45" w:name="_Toc261418260"/>
      <w:bookmarkStart w:id="46" w:name="_Toc508979344"/>
      <w:r>
        <w:rPr>
          <w:rFonts w:hint="eastAsia"/>
        </w:rPr>
        <w:t>到货验收</w:t>
      </w:r>
    </w:p>
    <w:p>
      <w:pPr>
        <w:spacing w:line="360" w:lineRule="auto"/>
        <w:ind w:firstLineChars="200" w:firstLine="420"/>
        <w:rPr>
          <w:rFonts w:ascii="Arial" w:hAnsi="Arial"/>
          <w:szCs w:val="21"/>
        </w:rPr>
      </w:pPr>
      <w:r>
        <w:rPr>
          <w:rFonts w:ascii="Arial" w:hAnsi="Arial" w:hint="eastAsia"/>
          <w:szCs w:val="21"/>
        </w:rPr>
        <w:t>（1）投标方需要按照合同规定按时提供产品，如因其它原因导致不能准时送货的需要提供加盖投标方公章的书面说明。如有必要，招标方可根据商务合同条款要求相应的赔偿。</w:t>
      </w:r>
    </w:p>
    <w:p>
      <w:pPr>
        <w:spacing w:line="360" w:lineRule="auto"/>
        <w:ind w:firstLineChars="200" w:firstLine="420"/>
        <w:rPr>
          <w:rFonts w:ascii="Arial" w:hAnsi="Arial"/>
          <w:szCs w:val="21"/>
        </w:rPr>
      </w:pPr>
      <w:r>
        <w:rPr>
          <w:rFonts w:ascii="Arial" w:hAnsi="Arial" w:hint="eastAsia"/>
          <w:szCs w:val="21"/>
        </w:rPr>
        <w:t>（2）产品到货前一天，投标方需提前联系招标方。投标方未提前联系的，招标方有权拒收。</w:t>
      </w:r>
    </w:p>
    <w:p>
      <w:pPr>
        <w:spacing w:line="360" w:lineRule="auto"/>
        <w:ind w:firstLineChars="200" w:firstLine="420"/>
        <w:rPr>
          <w:rFonts w:ascii="Arial" w:hAnsi="Arial"/>
          <w:szCs w:val="21"/>
        </w:rPr>
      </w:pPr>
      <w:r>
        <w:rPr>
          <w:rFonts w:ascii="Arial" w:hAnsi="Arial" w:hint="eastAsia"/>
          <w:szCs w:val="21"/>
        </w:rPr>
        <w:t>（3）投标方需要按照合同规定及招标方要求的地点送货，未送达指定地点的招标方有权拒收。</w:t>
      </w:r>
    </w:p>
    <w:p>
      <w:pPr>
        <w:spacing w:line="360" w:lineRule="auto"/>
        <w:ind w:firstLineChars="200" w:firstLine="420"/>
        <w:rPr>
          <w:rFonts w:ascii="Arial" w:hAnsi="Arial"/>
          <w:szCs w:val="21"/>
        </w:rPr>
      </w:pPr>
      <w:r>
        <w:rPr>
          <w:rFonts w:ascii="Arial" w:hAnsi="Arial" w:hint="eastAsia"/>
          <w:szCs w:val="21"/>
        </w:rPr>
        <w:t>（4）投标方协助招标方负责进行产品的到货验收工作：</w:t>
      </w:r>
    </w:p>
    <w:p>
      <w:pPr>
        <w:spacing w:line="360" w:lineRule="auto"/>
        <w:ind w:firstLineChars="200" w:firstLine="420"/>
        <w:rPr>
          <w:rFonts w:ascii="Arial" w:hAnsi="Arial"/>
          <w:szCs w:val="21"/>
        </w:rPr>
      </w:pPr>
      <w:r>
        <w:rPr>
          <w:rFonts w:ascii="Arial" w:hAnsi="Arial" w:hint="eastAsia"/>
          <w:szCs w:val="21"/>
        </w:rPr>
        <w:t>a）在双方验收人员在场的情况下，甲乙双方开箱并根据配置清单进行货物清点，确定无误后甲乙双方签订产品到货验收单，完成到货验收工作。</w:t>
      </w:r>
    </w:p>
    <w:p>
      <w:pPr>
        <w:spacing w:line="360" w:lineRule="auto"/>
        <w:ind w:firstLineChars="200" w:firstLine="420"/>
        <w:rPr>
          <w:rFonts w:ascii="Arial" w:hAnsi="Arial"/>
          <w:szCs w:val="21"/>
        </w:rPr>
      </w:pPr>
      <w:r>
        <w:rPr>
          <w:rFonts w:ascii="Arial" w:hAnsi="Arial" w:hint="eastAsia"/>
          <w:szCs w:val="21"/>
        </w:rPr>
        <w:t>b）清点货物时若发现缺货，则由投标方如实向招标方书面反映情况并申请补发货，给出缺货产品的到货时间说明。</w:t>
      </w:r>
    </w:p>
    <w:p>
      <w:pPr>
        <w:numPr>
          <w:ilvl w:val="0"/>
          <w:numId w:val="4"/>
        </w:numPr>
        <w:spacing w:line="360" w:lineRule="auto"/>
      </w:pPr>
      <w:r>
        <w:rPr>
          <w:rFonts w:hint="eastAsia"/>
        </w:rPr>
        <w:t>安装验收</w:t>
      </w:r>
    </w:p>
    <w:p>
      <w:pPr>
        <w:spacing w:line="360" w:lineRule="auto"/>
        <w:ind w:firstLineChars="100" w:firstLine="240"/>
        <w:rPr>
          <w:rFonts w:ascii="Arial" w:hAnsi="Arial"/>
          <w:szCs w:val="21"/>
        </w:rPr>
      </w:pPr>
      <w:r>
        <w:rPr>
          <w:rFonts w:ascii="宋体" w:hAnsi="宋体" w:hint="eastAsia"/>
          <w:sz w:val="24"/>
        </w:rPr>
        <w:t xml:space="preserve"> </w:t>
      </w:r>
      <w:r>
        <w:rPr>
          <w:rFonts w:ascii="Arial" w:hAnsi="Arial" w:hint="eastAsia"/>
          <w:szCs w:val="21"/>
        </w:rPr>
        <w:t>（1）完成到货验收后，需5天内完成安装，如果招标方要求推迟安装验收时间，需要按照招标方要求的时间完成。</w:t>
      </w:r>
    </w:p>
    <w:p>
      <w:pPr>
        <w:spacing w:line="360" w:lineRule="auto"/>
        <w:ind w:firstLineChars="200" w:firstLine="420"/>
        <w:rPr>
          <w:rFonts w:ascii="Arial" w:hAnsi="Arial"/>
          <w:szCs w:val="21"/>
        </w:rPr>
      </w:pPr>
      <w:r>
        <w:rPr>
          <w:rFonts w:ascii="Arial" w:hAnsi="Arial" w:hint="eastAsia"/>
          <w:szCs w:val="21"/>
        </w:rPr>
        <w:t>（2）招标方根据投标方要求提供安装/配置需求，投标方在产品安装前向招标方提供详细的安装实施工作方案。</w:t>
      </w:r>
    </w:p>
    <w:p>
      <w:pPr>
        <w:adjustRightInd w:val="0"/>
        <w:snapToGrid w:val="0"/>
        <w:spacing w:line="360" w:lineRule="auto"/>
        <w:ind w:firstLineChars="200" w:firstLine="420"/>
        <w:rPr>
          <w:rFonts w:ascii="Arial" w:hAnsi="Arial"/>
          <w:szCs w:val="21"/>
        </w:rPr>
      </w:pPr>
      <w:r>
        <w:rPr>
          <w:rFonts w:ascii="Arial" w:hAnsi="Arial" w:hint="eastAsia"/>
          <w:szCs w:val="21"/>
        </w:rPr>
        <w:t>（</w:t>
      </w:r>
      <w:r>
        <w:rPr>
          <w:rFonts w:ascii="Arial" w:hAnsi="Arial"/>
          <w:szCs w:val="21"/>
        </w:rPr>
        <w:t>3</w:t>
      </w:r>
      <w:r>
        <w:rPr>
          <w:rFonts w:ascii="Arial" w:hAnsi="Arial" w:hint="eastAsia"/>
          <w:szCs w:val="21"/>
        </w:rPr>
        <w:t>）招标方确认工作完成，甲乙双方签订产品安装验收报告，完成产品安装验收工作。</w:t>
      </w:r>
    </w:p>
    <w:p>
      <w:pPr>
        <w:keepNext/>
        <w:keepLines/>
        <w:widowControl w:val="0"/>
        <w:adjustRightInd w:val="0"/>
        <w:snapToGrid w:val="0"/>
        <w:spacing w:before="240" w:after="120" w:line="360" w:lineRule="auto"/>
        <w:outlineLvl w:val="1"/>
        <w:rPr>
          <w:rFonts w:ascii="Arial" w:eastAsia="黑体" w:cs="Times New Roman" w:hAnsi="Arial"/>
          <w:bCs/>
          <w:sz w:val="24"/>
          <w:szCs w:val="32"/>
        </w:rPr>
      </w:pPr>
      <w:r>
        <w:rPr>
          <w:rFonts w:ascii="Arial" w:eastAsia="黑体" w:cs="Times New Roman" w:hAnsi="Arial" w:hint="eastAsia"/>
          <w:bCs/>
          <w:sz w:val="24"/>
          <w:szCs w:val="32"/>
        </w:rPr>
        <w:t>六、售后服务</w:t>
      </w:r>
      <w:bookmarkEnd w:id="43"/>
      <w:bookmarkEnd w:id="44"/>
      <w:bookmarkEnd w:id="45"/>
      <w:bookmarkEnd w:id="46"/>
    </w:p>
    <w:p>
      <w:pPr>
        <w:adjustRightInd w:val="0"/>
        <w:snapToGrid w:val="0"/>
        <w:spacing w:line="360" w:lineRule="auto"/>
        <w:ind w:firstLineChars="200" w:firstLine="420"/>
      </w:pPr>
      <w:r>
        <w:rPr>
          <w:rFonts w:ascii="Arial" w:hAnsi="Arial" w:hint="eastAsia"/>
          <w:szCs w:val="21"/>
        </w:rPr>
        <w:t>投标方在投标时必须提供完整的售后服务方案，方案需针对以下内容：原厂400/800</w:t>
      </w:r>
      <w:r>
        <w:rPr>
          <w:rFonts w:ascii="Arial" w:hAnsi="Arial"/>
          <w:szCs w:val="21"/>
        </w:rPr>
        <w:t>电话支持</w:t>
      </w:r>
      <w:r>
        <w:rPr>
          <w:rFonts w:ascii="Arial" w:hAnsi="Arial" w:hint="eastAsia"/>
          <w:szCs w:val="21"/>
        </w:rPr>
        <w:t>、</w:t>
      </w:r>
      <w:r>
        <w:rPr>
          <w:rFonts w:ascii="Arial" w:hAnsi="Arial"/>
          <w:szCs w:val="21"/>
        </w:rPr>
        <w:t>2年保修服务</w:t>
      </w:r>
      <w:r>
        <w:rPr>
          <w:rFonts w:ascii="Arial" w:hAnsi="Arial" w:hint="eastAsia"/>
          <w:szCs w:val="21"/>
        </w:rPr>
        <w:t>、</w:t>
      </w:r>
      <w:r>
        <w:rPr>
          <w:rFonts w:ascii="Arial" w:hAnsi="Arial"/>
          <w:szCs w:val="21"/>
        </w:rPr>
        <w:t>1年有限全球联保服务（S/neo除外）、 1年数据无忧（含数据拯救，硬盘不回收，闪修）。</w:t>
      </w:r>
      <w:bookmarkEnd w:id="0"/>
    </w:p>
    <w:sectPr>
      <w:pgSz w:w="11907" w:h="16839"/>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auto"/>
    <w:pitch w:val="variable"/>
    <w:sig w:usb0="800002BF" w:usb1="38CF7CFA" w:usb2="00000016" w:usb3="00000000" w:csb0="00040001" w:csb1="00000000"/>
  </w:font>
  <w:font w:name="Arial">
    <w:panose1 w:val="020B0604020202020204"/>
    <w:charset w:val="00"/>
    <w:family w:val="auto"/>
    <w:pitch w:val="variable"/>
    <w:sig w:usb0="00007A87" w:usb1="80000000" w:usb2="00000008" w:usb3="00000000" w:csb0="400001FF" w:csb1="FFFF0000"/>
  </w:font>
  <w:font w:name="黑体">
    <w:panose1 w:val="02010609060101010101"/>
    <w:charset w:val="86"/>
    <w:family w:val="auto"/>
    <w:pitch w:val="variable"/>
    <w:sig w:usb0="800002BF" w:usb1="38CF7CFA" w:usb2="00000016" w:usb3="00000000" w:csb0="00040001" w:csb1="00000000"/>
  </w:font>
  <w:font w:name="Times New Roman">
    <w:panose1 w:val="02020603050405020304"/>
    <w:charset w:val="00"/>
    <w:family w:val="auto"/>
    <w:pitch w:val="variable"/>
    <w:sig w:usb0="00000A87" w:usb1="00000000" w:usb2="00000000" w:usb3="00000000" w:csb0="400001BF" w:csb1="DFF70000"/>
  </w:font>
  <w:font w:name="宋体">
    <w:panose1 w:val="02010600030101010101"/>
    <w:charset w:val="86"/>
    <w:family w:val="auto"/>
    <w:pitch w:val="variable"/>
    <w:sig w:usb0="00000003" w:usb1="080E0000" w:usb2="00000000" w:usb3="00000000" w:csb0="00040001" w:csb1="00000000"/>
  </w:font>
  <w:font w:name="仿宋_GB2312">
    <w:panose1 w:val="00000000000000000000"/>
    <w:charset w:val="00"/>
    <w:family w:val="auto"/>
    <w:pitch w:val="variable"/>
    <w:sig w:usb0="00000000" w:usb1="00000000" w:usb2="00000000" w:usb3="00000000" w:csb0="00000000" w:csb1="00000000"/>
  </w:font>
  <w:font w:name="等线">
    <w:panose1 w:val="02010600030101010101"/>
    <w:charset w:val="86"/>
    <w:family w:val="auto"/>
    <w:pitch w:val="variable"/>
    <w:sig w:usb0="A00002BF" w:usb1="38CF7CFA" w:usb2="00000016" w:usb3="00000000" w:csb0="0004000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27BE69BF"/>
    <w:multiLevelType w:val="multilevel"/>
    <w:tmpl w:val="27BE69BF"/>
    <w:lvl w:ilvl="0">
      <w:start w:val="1"/>
      <w:numFmt w:val="japaneseCounting"/>
      <w:lvlRestart w:val="0"/>
      <w:lvlText w:val="%1、"/>
      <w:lvlJc w:val="left"/>
      <w:pPr>
        <w:tabs>
          <w:tab w:val="num" w:pos="851"/>
        </w:tabs>
        <w:ind w:left="851" w:hanging="851"/>
      </w:pPr>
      <w:rPr>
        <w:rFonts w:ascii="宋体" w:hAnsi="宋体" w:eastAsia="宋体" w:cs="Times New Roman" w:hint="eastAsia"/>
      </w:rPr>
    </w:lvl>
    <w:lvl w:ilvl="1">
      <w:start w:val="1"/>
      <w:numFmt w:val="decimal"/>
      <w:lvlText w:val="2.%2"/>
      <w:lvlJc w:val="left"/>
      <w:pPr>
        <w:tabs>
          <w:tab w:val="num" w:pos="851"/>
        </w:tabs>
        <w:ind w:left="567" w:hanging="567"/>
      </w:pPr>
      <w:rPr>
        <w:rFonts w:hint="eastAsia"/>
      </w:rPr>
    </w:lvl>
    <w:lvl w:ilvl="2">
      <w:start w:val="1"/>
      <w:numFmt w:val="decimal"/>
      <w:lvlText w:val="%1.%2.%3."/>
      <w:lvlJc w:val="left"/>
      <w:pPr>
        <w:tabs>
          <w:tab w:val="num" w:pos="851"/>
        </w:tabs>
        <w:ind w:left="851" w:hanging="851"/>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7FDC713F"/>
    <w:multiLevelType w:val="multilevel"/>
    <w:tmpl w:val="7FDC713F"/>
    <w:lvl w:ilvl="0">
      <w:start w:val="1"/>
      <w:numFmt w:val="decimal"/>
      <w:lvlRestart w:val="0"/>
      <w:lvlText w:val="3.%1"/>
      <w:lvlJc w:val="left"/>
      <w:pPr>
        <w:ind w:left="842" w:hanging="420"/>
      </w:pPr>
      <w:rPr>
        <w:rFonts w:ascii="宋体" w:hAnsi="宋体" w:eastAsia="宋体" w:hint="eastAsia"/>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2">
    <w:nsid w:val="3334EFC8"/>
    <w:multiLevelType w:val="hybridMultilevel"/>
    <w:tmpl w:val="00000000"/>
    <w:lvl w:ilvl="0">
      <w:start w:val="1"/>
      <w:numFmt w:val="decimal"/>
      <w:lvlRestart w:val="0"/>
      <w:lvlText w:val="（%1）"/>
      <w:lvlJc w:val="left"/>
      <w:pPr>
        <w:ind w:left="945" w:hanging="525"/>
      </w:pPr>
      <w:rPr>
        <w:szCs w:val="22"/>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1A240F8F"/>
    <w:multiLevelType w:val="multilevel"/>
    <w:tmpl w:val="1A240F8F"/>
    <w:lvl w:ilvl="0">
      <w:start w:val="1"/>
      <w:numFmt w:val="decimal"/>
      <w:lvlRestart w:val="0"/>
      <w:lvlText w:val="5.%1"/>
      <w:lvlJc w:val="left"/>
      <w:pPr>
        <w:ind w:left="420" w:hanging="420"/>
      </w:pPr>
      <w:rPr>
        <w:rFonts w:ascii="宋体" w:hAnsi="宋体" w:eastAsia="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 w:numId="3">
    <w:abstractNumId w:val="2"/>
  </w:num>
  <w:num w:numId="4">
    <w:abstractNumId w:val="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isplayBackgroundShape/>
  <w:bordersDoNotSurroundHeader/>
  <w:bordersDoNotSurroundFooter/>
  <w:defaultTabStop w:val="420"/>
  <w:drawingGridHorizontalSpacing w:val="105"/>
  <w:drawingGridVerticalSpacing w:val="156"/>
  <w:displayHorizontalDrawingGridEvery w:val="0"/>
  <w:displayVerticalDrawingGridEvery w:val="1"/>
  <w:characterSpacingControl w:val="compressPunctuation"/>
  <w:compat>
    <w:balanceSingleByteDoubleByteWidth/>
    <w:ulTrailSpace/>
    <w:doNotExpandShiftReturn/>
    <w:adjustLineHeightInTable/>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Arial"/>
        <w:lang w:val="en-US" w:eastAsia="zh-CN" w:bidi="ar-SA"/>
      </w:rPr>
    </w:rPrDefault>
    <w:pPrDefault/>
  </w:docDefaults>
  <w:style w:type="paragraph" w:default="1" w:styleId="0">
    <w:name w:val="Normal"/>
    <w:pPr>
      <w:widowControl w:val="0"/>
      <w:jc w:val="both"/>
    </w:pPr>
    <w:rPr>
      <w:rFonts w:ascii="等线" w:eastAsia="等线" w:cs="Arial" w:hAnsi="等线"/>
      <w:kern w:val="2"/>
      <w:sz w:val="21"/>
      <w:szCs w:val="22"/>
      <w:lang w:val="en-US" w:eastAsia="zh-CN" w:bidi="ar-SA"/>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next w:val="0"/>
    <w:pPr>
      <w:keepNext/>
      <w:keepLines/>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D3C91869-F036-4067-831E-D2735DE3CCA4}">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11</TotalTime>
  <Application>Yozo_Office27021597764231179</Application>
  <Pages>4</Pages>
  <Words>0</Words>
  <Characters>1839</Characters>
  <Lines>0</Lines>
  <Paragraphs>56</Paragraphs>
  <CharactersWithSpaces>2453</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周会</dc:creator>
  <cp:lastModifiedBy>周会</cp:lastModifiedBy>
  <cp:revision>1</cp:revision>
  <dcterms:created xsi:type="dcterms:W3CDTF">2023-09-15T03:38:36Z</dcterms:created>
  <dcterms:modified xsi:type="dcterms:W3CDTF">2023-09-15T03:50:09Z</dcterms:modified>
</cp:coreProperties>
</file>